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Spain</w:t>
      </w:r>
      <w:r>
        <w:t xml:space="preserve"> </w:t>
      </w:r>
      <w:r>
        <w:t xml:space="preserve">Barcelona</w:t>
      </w:r>
    </w:p>
    <w:bookmarkStart w:id="20" w:name="X7cc967a14485ef72cb0dd507e7fc2fb6057587a"/>
    <w:p>
      <w:pPr>
        <w:pStyle w:val="Heading1"/>
      </w:pPr>
      <w:r>
        <w:t xml:space="preserve">Case Study: Strategic Legal Representation for International Real Estate Acquisition in Spain Barcelona</w:t>
      </w:r>
    </w:p>
    <w:p>
      <w:pPr>
        <w:pStyle w:val="FirstParagraph"/>
      </w:pPr>
      <w:r>
        <w:t xml:space="preserve">This document presents a detailed case study regarding the complexities of cross-border real estate transactions within the jurisdiction of Spain, specifically focusing on the vibrant metropolitan area known as Spain Barcelona. The primary objective is to illustrate how specialized legal counsel navigates regulatory hurdles, ensures fiscal compliance, and protects client interests in a high-stakes property acquisition. This analysis underscores the critical necessity of engaging a qualified</w:t>
      </w:r>
      <w:r>
        <w:t xml:space="preserve"> </w:t>
      </w:r>
      <w:r>
        <w:rPr>
          <w:bCs/>
          <w:b/>
        </w:rPr>
        <w:t xml:space="preserve">Lawyer</w:t>
      </w:r>
      <w:r>
        <w:t xml:space="preserve"> </w:t>
      </w:r>
      <w:r>
        <w:t xml:space="preserve">when dealing with international property investments in this dynamic Mediterranean hub.</w:t>
      </w:r>
    </w:p>
    <w:p>
      <w:pPr>
        <w:pStyle w:val="BodyText"/>
      </w:pPr>
      <w:r>
        <w:t xml:space="preserve">In recent years, Spain has emerged as a premier destination for international real estate investment. Within this landscape, the city of Barcelona stands out due to its cultural richness, economic stability, and robust tourism sector. However, the local legal framework is intricate and distinct from common law systems prevalent in many Western countries. For foreign investors unfamiliar with Spanish civil law procedures, the process can be daunting.</w:t>
      </w:r>
    </w:p>
    <w:p>
      <w:pPr>
        <w:pStyle w:val="BodyText"/>
      </w:pPr>
      <w:r>
        <w:t xml:space="preserve">The client in this case study was a consortium of non-resident investors seeking to purchase a historic commercial property located in the Eixample district of Spain Barcelona. The transaction involved significant capital and required not only due diligence on the physical asset but also rigorous verification of urban planning licenses, tax implications, and anti-money laundering protocols.</w:t>
      </w:r>
    </w:p>
    <w:p>
      <w:pPr>
        <w:pStyle w:val="BodyText"/>
      </w:pPr>
      <w:r>
        <w:t xml:space="preserve">The primary challenge lay in the disconnect between the investors' expectations based on their home country's legal systems and the strict statutory requirements imposed by Spanish law. Specifically, several critical issues needed immediate attention:</w:t>
      </w:r>
    </w:p>
    <w:p>
      <w:pPr>
        <w:numPr>
          <w:ilvl w:val="0"/>
          <w:numId w:val="1001"/>
        </w:numPr>
        <w:pStyle w:val="Compact"/>
      </w:pPr>
      <w:r>
        <w:rPr>
          <w:bCs/>
          <w:b/>
        </w:rPr>
        <w:t xml:space="preserve">Bureaucratic Complexity:</w:t>
      </w:r>
      <w:r>
        <w:t xml:space="preserve"> </w:t>
      </w:r>
      <w:r>
        <w:t xml:space="preserve">The property had changed ownership multiple times over decades, leading to a fragmented registry of documents.</w:t>
      </w:r>
    </w:p>
    <w:p>
      <w:pPr>
        <w:numPr>
          <w:ilvl w:val="0"/>
          <w:numId w:val="1001"/>
        </w:numPr>
        <w:pStyle w:val="Compact"/>
      </w:pPr>
      <w:r>
        <w:rPr>
          <w:bCs/>
          <w:b/>
        </w:rPr>
        <w:t xml:space="preserve">Zoning and Heritage Restrictions:</w:t>
      </w:r>
      <w:r>
        <w:t xml:space="preserve"> </w:t>
      </w:r>
      <w:r>
        <w:t xml:space="preserve">Located in the city center, the building was subject to strict heritage protection laws which limited potential renovation plans.</w:t>
      </w:r>
    </w:p>
    <w:p>
      <w:pPr>
        <w:numPr>
          <w:ilvl w:val="0"/>
          <w:numId w:val="1001"/>
        </w:numPr>
        <w:pStyle w:val="Compact"/>
      </w:pPr>
      <w:r>
        <w:rPr>
          <w:bCs/>
          <w:b/>
        </w:rPr>
        <w:t xml:space="preserve">Tax Ambiguity:</w:t>
      </w:r>
      <w:r>
        <w:t xml:space="preserve"> </w:t>
      </w:r>
      <w:r>
        <w:t xml:space="preserve">The investors were unsure about their obligations regarding Non-Resident Income Tax (IRNR) and Value Added Tax (VAT) versus Transfer Tax (ITP).</w:t>
      </w:r>
    </w:p>
    <w:p>
      <w:pPr>
        <w:numPr>
          <w:ilvl w:val="0"/>
          <w:numId w:val="1001"/>
        </w:numPr>
        <w:pStyle w:val="Compact"/>
      </w:pPr>
      <w:r>
        <w:rPr>
          <w:bCs/>
          <w:b/>
        </w:rPr>
        <w:t xml:space="preserve">Linguistic Barriers:</w:t>
      </w:r>
      <w:r>
        <w:t xml:space="preserve"> </w:t>
      </w:r>
      <w:r>
        <w:t xml:space="preserve">All official documents were in Catalan or Spanish, requiring certified translations and legal interpretation.</w:t>
      </w:r>
    </w:p>
    <w:p>
      <w:pPr>
        <w:pStyle w:val="FirstParagraph"/>
      </w:pPr>
      <w:r>
        <w:t xml:space="preserve">Without expert guidance, these challenges could have resulted in severe financial penalties, delayed closing dates, or even the nullification of the contract.</w:t>
      </w:r>
    </w:p>
    <w:p>
      <w:pPr>
        <w:pStyle w:val="BodyText"/>
      </w:pPr>
      <w:r>
        <w:t xml:space="preserve">To mitigate these risks, a specialized firm was retained. The engagement letter explicitly defined the scope of work for their assigned</w:t>
      </w:r>
      <w:r>
        <w:t xml:space="preserve"> </w:t>
      </w:r>
      <w:r>
        <w:rPr>
          <w:bCs/>
          <w:b/>
        </w:rPr>
        <w:t xml:space="preserve">Lawyer</w:t>
      </w:r>
      <w:r>
        <w:t xml:space="preserve">, focusing on comprehensive legal oversight throughout the transaction lifecycle in Spain Barcelona.</w:t>
      </w:r>
    </w:p>
    <w:p>
      <w:pPr>
        <w:pStyle w:val="BodyText"/>
      </w:pPr>
      <w:r>
        <w:t xml:space="preserve">The first step undertaken by the Lawyer was an exhaustive search at the Land Registry (Registro de la Propiedad). The goal was to confirm that the seller held clear title to the property and that no liens, mortgages, or encumbrances existed. Furthermore, a certificate of outstanding community fees and municipal taxes was obtained. This step is crucial in Spain Barcelona, where unpaid debts are often transferred with the property if not explicitly resolved.</w:t>
      </w:r>
    </w:p>
    <w:p>
      <w:pPr>
        <w:pStyle w:val="BodyText"/>
      </w:pPr>
      <w:r>
        <w:t xml:space="preserve">Given the historical nature of the building, the Lawyer coordinated with local urban planning authorities to verify that no illegal structures existed on-site. They obtained a "Certificate of Last Declaration of Works" and ensured that any previous renovations had proper permits. This due diligence was vital because heritage violations in Spain Barcelona can carry heavy fines and require costly restoration work.</w:t>
      </w:r>
    </w:p>
    <w:p>
      <w:pPr>
        <w:pStyle w:val="BodyText"/>
      </w:pPr>
      <w:r>
        <w:t xml:space="preserve">The Lawyer drafted the private purchase agreement, incorporating specific clauses to protect the investors. Key provisions included:</w:t>
      </w:r>
    </w:p>
    <w:p>
      <w:pPr>
        <w:numPr>
          <w:ilvl w:val="0"/>
          <w:numId w:val="1002"/>
        </w:numPr>
        <w:pStyle w:val="Compact"/>
      </w:pPr>
      <w:r>
        <w:t xml:space="preserve">A robust "Title Warranty" clause holding the seller liable for any hidden defects in ownership.</w:t>
      </w:r>
    </w:p>
    <w:p>
      <w:pPr>
        <w:numPr>
          <w:ilvl w:val="0"/>
          <w:numId w:val="1002"/>
        </w:numPr>
        <w:pStyle w:val="Compact"/>
      </w:pPr>
      <w:r>
        <w:t xml:space="preserve">A clear timeline for cancellation penalties if regulatory approvals were not secured by a specified date.</w:t>
      </w:r>
    </w:p>
    <w:p>
      <w:pPr>
        <w:numPr>
          <w:ilvl w:val="0"/>
          <w:numId w:val="1002"/>
        </w:numPr>
        <w:pStyle w:val="Compact"/>
      </w:pPr>
      <w:r>
        <w:t xml:space="preserve">Inclusion of a specific clause regarding the allocation of transfer taxes, ensuring transparency in costs.</w:t>
      </w:r>
    </w:p>
    <w:p>
      <w:pPr>
        <w:pStyle w:val="FirstParagraph"/>
      </w:pPr>
      <w:r>
        <w:t xml:space="preserve">The final stage involved the signing before a Public Notary, a mandatory requirement for real estate transactions in Spain. The Lawyer attended this meeting to ensure that all conditions precedent were met and that the notarized deed accurately reflected the negotiated terms.</w:t>
      </w:r>
    </w:p>
    <w:p>
      <w:pPr>
        <w:pStyle w:val="BodyText"/>
      </w:pPr>
      <w:r>
        <w:t xml:space="preserve">Post-closure, the Lawyer assisted with:</w:t>
      </w:r>
    </w:p>
    <w:p>
      <w:pPr>
        <w:numPr>
          <w:ilvl w:val="0"/>
          <w:numId w:val="1003"/>
        </w:numPr>
        <w:pStyle w:val="Compact"/>
      </w:pPr>
      <w:r>
        <w:rPr>
          <w:bCs/>
          <w:b/>
        </w:rPr>
        <w:t xml:space="preserve">Fiscal Registration:</w:t>
      </w:r>
      <w:r>
        <w:t xml:space="preserve"> </w:t>
      </w:r>
      <w:r>
        <w:t xml:space="preserve">Obtaining a Spanish Tax Identification Number (NIE) for each investor, which is essential for any financial activity in Spain.</w:t>
      </w:r>
    </w:p>
    <w:p>
      <w:pPr>
        <w:numPr>
          <w:ilvl w:val="0"/>
          <w:numId w:val="1003"/>
        </w:numPr>
        <w:pStyle w:val="Compact"/>
      </w:pPr>
      <w:r>
        <w:rPr>
          <w:bCs/>
          <w:b/>
        </w:rPr>
        <w:t xml:space="preserve">Title Registration:</w:t>
      </w:r>
      <w:r>
        <w:t xml:space="preserve"> </w:t>
      </w:r>
      <w:r>
        <w:t xml:space="preserve">Submitting the notarized deed to the Land Registry to officially register the new ownership.</w:t>
      </w:r>
    </w:p>
    <w:p>
      <w:pPr>
        <w:numPr>
          <w:ilvl w:val="0"/>
          <w:numId w:val="1003"/>
        </w:numPr>
        <w:pStyle w:val="Compact"/>
      </w:pPr>
      <w:r>
        <w:rPr>
          <w:bCs/>
          <w:b/>
        </w:rPr>
        <w:t xml:space="preserve">Ongoing Compliance:</w:t>
      </w:r>
      <w:r>
        <w:t xml:space="preserve"> </w:t>
      </w:r>
      <w:r>
        <w:t xml:space="preserve">Setting up a mechanism for quarterly tax filings with the Spanish Tax Agency, ensuring that future obligations in Spain Barcelona are managed efficiently.</w:t>
      </w:r>
    </w:p>
    <w:p>
      <w:pPr>
        <w:pStyle w:val="FirstParagraph"/>
      </w:pPr>
      <w:r>
        <w:t xml:space="preserve">The transaction was completed successfully within three months, well ahead of the projected timeline. The investors acquired full ownership rights without any subsequent legal disputes or hidden liabilities. By engaging a specialized Lawyer early in the process, the consortium avoided potential pitfalls related to heritage violations and tax misclassification.</w:t>
      </w:r>
    </w:p>
    <w:p>
      <w:pPr>
        <w:pStyle w:val="BodyText"/>
      </w:pPr>
      <w:r>
        <w:rPr>
          <w:bCs/>
          <w:b/>
        </w:rPr>
        <w:t xml:space="preserve">1. Local Expertise is Non-Negotiable:</w:t>
      </w:r>
      <w:r>
        <w:t xml:space="preserve"> </w:t>
      </w:r>
      <w:r>
        <w:t xml:space="preserve">The legal landscape of Spain Barcelona is unique. A Lawyer familiar with regional nuances can prevent costly errors.</w:t>
      </w:r>
    </w:p>
    <w:p>
      <w:pPr>
        <w:pStyle w:val="BodyText"/>
      </w:pPr>
      <w:r>
        <w:rPr>
          <w:bCs/>
          <w:b/>
        </w:rPr>
        <w:t xml:space="preserve">2. Due Diligence Extends Beyond the Property:</w:t>
      </w:r>
      <w:r>
        <w:t xml:space="preserve"> </w:t>
      </w:r>
      <w:r>
        <w:t xml:space="preserve">Verifying urban planning licenses and tax clearances is as important as inspecting the building's structure.</w:t>
      </w:r>
    </w:p>
    <w:p>
      <w:pPr>
        <w:pStyle w:val="BodyText"/>
      </w:pPr>
      <w:r>
        <w:rPr>
          <w:bCs/>
          <w:b/>
        </w:rPr>
        <w:t xml:space="preserve">3. Communication and Translation:</w:t>
      </w:r>
      <w:r>
        <w:t xml:space="preserve">A Lawyer acts as a bridge, translating not just language, but legal concepts into actionable advice for international clients.</w:t>
      </w:r>
    </w:p>
    <w:p>
      <w:pPr>
        <w:pStyle w:val="BodyText"/>
      </w:pPr>
      <w:r>
        <w:t xml:space="preserve">This case study demonstrates that purchasing property in Spain Barcelona is a complex endeavor that demands professional legal intervention. The role of the Lawyer extends far beyond document preparation; they serve as strategic advisors who navigate the intricate web of Spanish civil, fiscal, and urban laws. For international investors, the investment in high-quality legal counsel is not merely an expense but a critical safeguard for their capital. As Spain continues to attract global interest, particularly in cities like Barcelona, the demand for adept legal representation will only grow. Ensuring compliance with local regulations through a trusted Lawyer remains the most effective strategy for securing successful real estate outcomes.</w:t>
      </w:r>
    </w:p>
    <w:p>
      <w:pPr>
        <w:pStyle w:val="BodyText"/>
      </w:pPr>
      <w:r>
        <w:rPr>
          <w:iCs/>
          <w:i/>
        </w:rPr>
        <w:t xml:space="preserve">Disclaimer: This case study is for informational purposes only and does not constitute legal advice. Readers should consult with a qualified professional regarding their specific situations in Spain or elsewhere.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Spain Barcelona</dc:title>
  <dc:creator/>
  <dc:language>en</dc:language>
  <cp:keywords/>
  <dcterms:created xsi:type="dcterms:W3CDTF">2026-07-29T17:27:04Z</dcterms:created>
  <dcterms:modified xsi:type="dcterms:W3CDTF">2026-07-29T17:27:04Z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