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Sudan</w:t>
      </w:r>
      <w:r>
        <w:t xml:space="preserve"> </w:t>
      </w:r>
      <w:r>
        <w:t xml:space="preserve">Khartoum</w:t>
      </w:r>
    </w:p>
    <w:bookmarkStart w:id="28" w:name="X2d7f79c280ae5119ad951b67564b5870f5566e5"/>
    <w:p>
      <w:pPr>
        <w:pStyle w:val="Heading1"/>
      </w:pPr>
      <w:r>
        <w:t xml:space="preserve">Case Study Analysis of Legal Counsel in Sudan Khartoum</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p>
    <w:p>
      <w:pPr>
        <w:pStyle w:val="BodyText"/>
      </w:pPr>
      <w:r>
        <w:t xml:space="preserve">The objective of this document is to analyze the operational challenges, strategic legal frameworks, and socio-political dynamics that define the practice of law in Sudan Khartoum. By examining a representative scenario involving commercial dispute resolution and regulatory compliance during periods of heightened instability, we aim to provide a comprehensive overview for international stakeholders interested in understanding the local legal landscape.</w:t>
      </w:r>
    </w:p>
    <w:bookmarkEnd w:id="20"/>
    <w:bookmarkStart w:id="21" w:name="introduction-to-the-context"/>
    <w:p>
      <w:pPr>
        <w:pStyle w:val="Heading2"/>
      </w:pPr>
      <w:r>
        <w:t xml:space="preserve">1. Introduction to the Context</w:t>
      </w:r>
    </w:p>
    <w:p>
      <w:pPr>
        <w:pStyle w:val="FirstParagraph"/>
      </w:pPr>
      <w:r>
        <w:t xml:space="preserve">The Republic of Sudan has undergone significant political and economic transformations in recent years, with its capital, Khartoum serving as the primary hub for legal proceedings, administrative decision-making, and corporate headquarters. A</w:t>
      </w:r>
      <w:r>
        <w:t xml:space="preserve"> </w:t>
      </w:r>
      <w:r>
        <w:rPr>
          <w:bCs/>
          <w:b/>
        </w:rPr>
        <w:t xml:space="preserve">Lawyer</w:t>
      </w:r>
    </w:p>
    <w:p>
      <w:pPr>
        <w:pStyle w:val="BodyText"/>
      </w:pPr>
      <w:r>
        <w:t xml:space="preserve">practicing in this jurisdiction must navigate a complex hybrid system that integrates elements of customary law, civil law derived from Egyptian legal traditions, and statutory laws influenced by international treaties. The</w:t>
      </w:r>
      <w:r>
        <w:t xml:space="preserve"> </w:t>
      </w:r>
      <w:r>
        <w:t xml:space="preserve">Sudan Khartoum</w:t>
      </w:r>
      <w:r>
        <w:t xml:space="preserve"> </w:t>
      </w:r>
      <w:r>
        <w:t xml:space="preserve">environment is not merely a geographical location but a dynamic ecosystem where legal precedents are constantly tested against evolving regulatory requirements.</w:t>
      </w:r>
    </w:p>
    <w:bookmarkEnd w:id="21"/>
    <w:bookmarkStart w:id="22" w:name="profile-of-the-legal-practitioner"/>
    <w:p>
      <w:pPr>
        <w:pStyle w:val="Heading2"/>
      </w:pPr>
      <w:r>
        <w:t xml:space="preserve">2. Profile of the Legal Practitioner</w:t>
      </w:r>
    </w:p>
    <w:p>
      <w:pPr>
        <w:pStyle w:val="FirstParagraph"/>
      </w:pPr>
      <w:r>
        <w:t xml:space="preserve">In this</w:t>
      </w:r>
      <w:r>
        <w:t xml:space="preserve"> </w:t>
      </w:r>
      <w:r>
        <w:rPr>
          <w:bCs/>
          <w:b/>
        </w:rPr>
        <w:t xml:space="preserve">Case Study</w:t>
      </w:r>
      <w:r>
        <w:t xml:space="preserve">, we examine the role of a mid-to-senior level</w:t>
      </w:r>
      <w:r>
        <w:t xml:space="preserve"> </w:t>
      </w:r>
      <w:r>
        <w:rPr>
          <w:bCs/>
          <w:b/>
        </w:rPr>
        <w:t xml:space="preserve">Lawyer</w:t>
      </w:r>
    </w:p>
    <w:p>
      <w:pPr>
        <w:pStyle w:val="BodyText"/>
      </w:pPr>
      <w:r>
        <w:t xml:space="preserve">named Ahmed El-Tayeb (a pseudonym for privacy and generalization purposes). Ahmed operates within a boutique firm in central Khartoum, specializing in commercial litigation, contract law, and regulatory compliance. His practice requires deep familiarity with the Sudanese Civil Procedure Code, the Commercial Companies Act of 1925 (which remains influential), and various ministerial decrees that frequently change.</w:t>
      </w:r>
    </w:p>
    <w:p>
      <w:pPr>
        <w:pStyle w:val="BodyText"/>
      </w:pPr>
      <w:r>
        <w:t xml:space="preserve">The profile of a successful</w:t>
      </w:r>
      <w:r>
        <w:t xml:space="preserve"> </w:t>
      </w:r>
      <w:r>
        <w:rPr>
          <w:bCs/>
          <w:b/>
        </w:rPr>
        <w:t xml:space="preserve">Lawyer</w:t>
      </w:r>
    </w:p>
    <w:p>
      <w:pPr>
        <w:pStyle w:val="BodyText"/>
      </w:pPr>
      <w:r>
        <w:t xml:space="preserve">in this region necessitates more than just academic knowledge. It requires robust negotiation skills, an understanding of informal dispute resolution mechanisms often preferred in local business communities, and the ability to maintain professional integrity under pressure. Ahmed’s experience highlights the critical balance between adhering to formal legal statutes and navigating the practical realities of doing business in</w:t>
      </w:r>
      <w:r>
        <w:t xml:space="preserve"> </w:t>
      </w:r>
      <w:r>
        <w:t xml:space="preserve">Sudan Khartoum</w:t>
      </w:r>
      <w:r>
        <w:t xml:space="preserve">.</w:t>
      </w:r>
    </w:p>
    <w:bookmarkEnd w:id="22"/>
    <w:bookmarkStart w:id="23" w:name="case-background-the-commercial-dispute"/>
    <w:p>
      <w:pPr>
        <w:pStyle w:val="Heading2"/>
      </w:pPr>
      <w:r>
        <w:t xml:space="preserve">3. Case Background: The Commercial Dispute</w:t>
      </w:r>
    </w:p>
    <w:p>
      <w:pPr>
        <w:pStyle w:val="FirstParagraph"/>
      </w:pPr>
      <w:r>
        <w:t xml:space="preserve">The core incident driving this analysis involves a multi-million pound dispute between a local construction consortium and an international energy firm. The project, located on the outskirts of</w:t>
      </w:r>
      <w:r>
        <w:t xml:space="preserve"> </w:t>
      </w:r>
      <w:r>
        <w:t xml:space="preserve">Sudan Khartoum</w:t>
      </w:r>
      <w:r>
        <w:t xml:space="preserve">, was stalled due to disagreements over force majeure clauses following civil unrest and supply chain disruptions. The international client sought immediate arbitration, while the local partner insisted on pursuing litigation through the national courts.</w:t>
      </w:r>
    </w:p>
    <w:p>
      <w:pPr>
        <w:pStyle w:val="BodyText"/>
      </w:pPr>
      <w:r>
        <w:t xml:space="preserve">The</w:t>
      </w:r>
      <w:r>
        <w:t xml:space="preserve"> </w:t>
      </w:r>
      <w:r>
        <w:rPr>
          <w:bCs/>
          <w:b/>
        </w:rPr>
        <w:t xml:space="preserve">Lawyer</w:t>
      </w:r>
    </w:p>
    <w:p>
      <w:pPr>
        <w:pStyle w:val="BodyText"/>
      </w:pPr>
      <w:r>
        <w:t xml:space="preserve">in question, Ahmed, was tasked with representing the local consortium. His initial assessment revealed that while the contract specified international arbitration under ICC rules, Sudanese law provides specific grounds for challenging enforcement of foreign arbitral awards if they contradict public order or local statutory mandates. This created a complex legal chessboard where procedural strategy was as important as substantive law.</w:t>
      </w:r>
    </w:p>
    <w:bookmarkEnd w:id="23"/>
    <w:bookmarkStart w:id="24" w:name="X0269908b81323ddeb9f7e93653122ec03a2c5d3"/>
    <w:p>
      <w:pPr>
        <w:pStyle w:val="Heading2"/>
      </w:pPr>
      <w:r>
        <w:t xml:space="preserve">4. Strategic Challenges and Legal Frameworks</w:t>
      </w:r>
    </w:p>
    <w:p>
      <w:pPr>
        <w:pStyle w:val="FirstParagraph"/>
      </w:pPr>
      <w:r>
        <w:t xml:space="preserve">The primary challenge identified in this</w:t>
      </w:r>
      <w:r>
        <w:t xml:space="preserve"> </w:t>
      </w:r>
      <w:r>
        <w:rPr>
          <w:bCs/>
          <w:b/>
        </w:rPr>
        <w:t xml:space="preserve">Case Study</w:t>
      </w:r>
    </w:p>
    <w:p>
      <w:pPr>
        <w:pStyle w:val="BodyText"/>
      </w:pPr>
      <w:r>
        <w:t xml:space="preserve">was the intersection of international commercial expectations with local judicial realities. The court system in</w:t>
      </w:r>
      <w:r>
        <w:t xml:space="preserve"> </w:t>
      </w:r>
      <w:r>
        <w:t xml:space="preserve">Sudan Khartoum</w:t>
      </w:r>
      <w:r>
        <w:t xml:space="preserve"> </w:t>
      </w:r>
      <w:r>
        <w:t xml:space="preserve">can experience significant delays, exacerbated by administrative bottlenecks and occasional security-related closures. For a</w:t>
      </w:r>
      <w:r>
        <w:t xml:space="preserve"> </w:t>
      </w:r>
      <w:r>
        <w:rPr>
          <w:bCs/>
          <w:b/>
        </w:rPr>
        <w:t xml:space="preserve">Lawyer</w:t>
      </w:r>
      <w:r>
        <w:t xml:space="preserve">, this means that filing deadlines and hearing schedules are not always predictable.</w:t>
      </w:r>
    </w:p>
    <w:p>
      <w:pPr>
        <w:pStyle w:val="BodyText"/>
      </w:pPr>
      <w:r>
        <w:t xml:space="preserve">Furthermore, the legal representation required Ahmed to interpret "force majeure" in a context where political instability is frequently cited as an excusable reason for non-performance. He had to construct an argument that satisfied both the international standards expected by the foreign investor and the local judicial precedents favored by judges in Khartoum. This dual-necessity is a hallmark of legal practice in this region, where globalization meets tradition.</w:t>
      </w:r>
    </w:p>
    <w:bookmarkEnd w:id="24"/>
    <w:bookmarkStart w:id="25" w:name="execution-of-legal-strategy"/>
    <w:p>
      <w:pPr>
        <w:pStyle w:val="Heading2"/>
      </w:pPr>
      <w:r>
        <w:t xml:space="preserve">5. Execution of Legal Strategy</w:t>
      </w:r>
    </w:p>
    <w:p>
      <w:pPr>
        <w:pStyle w:val="FirstParagraph"/>
      </w:pPr>
      <w:r>
        <w:t xml:space="preserve">Ahmed’s strategy involved a two-pronged approach:</w:t>
      </w:r>
    </w:p>
    <w:p>
      <w:pPr>
        <w:numPr>
          <w:ilvl w:val="0"/>
          <w:numId w:val="1001"/>
        </w:numPr>
        <w:pStyle w:val="Compact"/>
      </w:pPr>
      <w:r>
        <w:rPr>
          <w:bCs/>
          <w:b/>
        </w:rPr>
        <w:t xml:space="preserve">Negotiation via Mediation:</w:t>
      </w:r>
      <w:r>
        <w:t xml:space="preserve"> He leveraged local business networks to initiate mediation talks, recognizing that in</w:t>
      </w:r>
      <w:r>
        <w:t xml:space="preserve"> </w:t>
      </w:r>
      <w:r>
        <w:t xml:space="preserve">Sudan Khartoum</w:t>
      </w:r>
      <w:r>
        <w:t xml:space="preserve">, maintaining long-term relationships often outweighs immediate legal victories.</w:t>
      </w:r>
    </w:p>
    <w:p>
      <w:pPr>
        <w:numPr>
          <w:ilvl w:val="0"/>
          <w:numId w:val="1001"/>
        </w:numPr>
      </w:pPr>
      <w:r>
        <w:rPr>
          <w:bCs/>
          <w:b/>
        </w:rPr>
        <w:t xml:space="preserve">Procedural Defense:</w:t>
      </w:r>
      <w:r>
        <w:t xml:space="preserve"> Simultaneously, he prepared a robust defense for potential litigation, focusing on the interpretation of local contract laws. He utilized precedents from previous Supreme Court rulings in</w:t>
      </w:r>
      <w:r>
        <w:t xml:space="preserve"> </w:t>
      </w:r>
      <w:r>
        <w:t xml:space="preserve">Sudan Khartoum</w:t>
      </w:r>
    </w:p>
    <w:p>
      <w:pPr>
        <w:numPr>
          <w:ilvl w:val="0"/>
          <w:numId w:val="1000"/>
        </w:numPr>
      </w:pPr>
      <w:r>
        <w:t xml:space="preserve">to argue that the specific circumstances of the disruption qualified as exceptional and unforeseeable under Sudanese jurisprudence.</w:t>
      </w:r>
    </w:p>
    <w:p>
      <w:pPr>
        <w:pStyle w:val="FirstParagraph"/>
      </w:pPr>
      <w:r>
        <w:t xml:space="preserve">The role of the</w:t>
      </w:r>
      <w:r>
        <w:t xml:space="preserve"> </w:t>
      </w:r>
      <w:r>
        <w:rPr>
          <w:bCs/>
          <w:b/>
        </w:rPr>
        <w:t xml:space="preserve">Lawyer</w:t>
      </w:r>
      <w:r>
        <w:t xml:space="preserve"> here was pivotal not just in drafting documents, but in managing client expectations. Ahmed had to educate his clients on why a swift court victory might be impossible and why a negotiated settlement, though less clean legally, offered better economic outcomes given the operational environment.</w:t>
      </w:r>
    </w:p>
    <w:bookmarkEnd w:id="25"/>
    <w:bookmarkStart w:id="26" w:name="outcomes-and-implications"/>
    <w:p>
      <w:pPr>
        <w:pStyle w:val="Heading2"/>
      </w:pPr>
      <w:r>
        <w:t xml:space="preserve">6. Outcomes and Implications</w:t>
      </w:r>
    </w:p>
    <w:p>
      <w:pPr>
        <w:pStyle w:val="FirstParagraph"/>
      </w:pPr>
      <w:r>
        <w:t xml:space="preserve">The dispute was eventually resolved through a mediated settlement where both parties agreed to renegotiate contract terms regarding future performance timelines. The case did not result in a formal court judgment, which is common in high-stakes commercial matters in</w:t>
      </w:r>
      <w:r>
        <w:t xml:space="preserve"> </w:t>
      </w:r>
      <w:r>
        <w:t xml:space="preserve">Sudan Khartoum</w:t>
      </w:r>
      <w:r>
        <w:t xml:space="preserve">, as judicial records are sometimes avoided to protect reputations and allow for future cooperation.</w:t>
      </w:r>
    </w:p>
    <w:p>
      <w:pPr>
        <w:pStyle w:val="BodyText"/>
      </w:pPr>
      <w:r>
        <w:t xml:space="preserve">For the</w:t>
      </w:r>
      <w:r>
        <w:t xml:space="preserve"> </w:t>
      </w:r>
      <w:r>
        <w:rPr>
          <w:bCs/>
          <w:b/>
        </w:rPr>
        <w:t xml:space="preserve">Lawyer</w:t>
      </w:r>
      <w:r>
        <w:t xml:space="preserve">, the outcome demonstrated that effective legal counsel requires adaptability. The ability to pivot between aggressive litigation tactics and diplomatic negotiation is essential. This</w:t>
      </w:r>
      <w:r>
        <w:t xml:space="preserve"> </w:t>
      </w:r>
      <w:r>
        <w:rPr>
          <w:bCs/>
          <w:b/>
        </w:rPr>
        <w:t xml:space="preserve">Case Study</w:t>
      </w:r>
    </w:p>
    <w:p>
      <w:pPr>
        <w:pStyle w:val="BodyText"/>
      </w:pPr>
      <w:r>
        <w:t xml:space="preserve">illustrates that success in Sudan Khartoum is rarely about winning every procedural motion; it is about achieving a sustainable resolution for the client within the constraints of the local ecosystem.</w:t>
      </w:r>
    </w:p>
    <w:bookmarkEnd w:id="26"/>
    <w:bookmarkStart w:id="27" w:name="conclusion"/>
    <w:p>
      <w:pPr>
        <w:pStyle w:val="Heading2"/>
      </w:pPr>
      <w:r>
        <w:t xml:space="preserve">7. Conclusion</w:t>
      </w:r>
    </w:p>
    <w:p>
      <w:pPr>
        <w:pStyle w:val="FirstParagraph"/>
      </w:pPr>
      <w:r>
        <w:t xml:space="preserve">This</w:t>
      </w:r>
      <w:r>
        <w:t xml:space="preserve"> </w:t>
      </w:r>
      <w:r>
        <w:rPr>
          <w:bCs/>
          <w:b/>
        </w:rPr>
        <w:t xml:space="preserve">Case Study</w:t>
      </w:r>
      <w:r>
        <w:t xml:space="preserve"> highlights the nuanced nature of legal practice in</w:t>
      </w:r>
      <w:r>
        <w:t xml:space="preserve"> </w:t>
      </w:r>
      <w:r>
        <w:t xml:space="preserve">Sudan Khartoum</w:t>
      </w:r>
      <w:r>
        <w:t xml:space="preserve">. It underscores that a</w:t>
      </w:r>
      <w:r>
        <w:t xml:space="preserve"> </w:t>
      </w:r>
      <w:r>
        <w:rPr>
          <w:bCs/>
          <w:b/>
        </w:rPr>
        <w:t xml:space="preserve">Lawyer</w:t>
      </w:r>
      <w:r>
        <w:t xml:space="preserve"> operating in this jurisdiction must possess a multifaceted skill set that extends beyond rote memorization of statutes. They must be strategists, negotiators, and cultural intermediaries.</w:t>
      </w:r>
    </w:p>
    <w:p>
      <w:pPr>
        <w:pStyle w:val="BodyText"/>
      </w:pPr>
      <w:r>
        <w:t xml:space="preserve">The case emphasizes the importance of understanding the specific legal and social fabric of</w:t>
      </w:r>
      <w:r>
        <w:t xml:space="preserve"> </w:t>
      </w:r>
      <w:r>
        <w:t xml:space="preserve">Sudan Khartoum</w:t>
      </w:r>
      <w:r>
        <w:t xml:space="preserve">. International entities engaging with this market must recognize that local legal counsel is not just a formality but a critical strategic asset. The recommendations derived from this analysis suggest that future engagements should prioritize early involvement of experienced</w:t>
      </w:r>
      <w:r>
        <w:t xml:space="preserve"> </w:t>
      </w:r>
      <w:r>
        <w:rPr>
          <w:bCs/>
          <w:b/>
        </w:rPr>
        <w:t xml:space="preserve">Lawyer</w:t>
      </w:r>
      <w:r>
        <w:t xml:space="preserve"> professionals who can navigate the intricate balance between international commercial law and the distinct legal traditions of Sudan Khartoum.</w:t>
      </w:r>
    </w:p>
    <w:p>
      <w:pPr>
        <w:pStyle w:val="BodyText"/>
      </w:pPr>
      <w:r>
        <w:t xml:space="preserve">Ultimately, the stability and fairness of legal outcomes in this region depend heavily on the competence, integrity, and strategic acumen of those practicing within its courts. This document serves as a testament to those dedicated professionals who work daily to uphold justice and facilitate commerce in</w:t>
      </w:r>
      <w:r>
        <w:t xml:space="preserve"> </w:t>
      </w:r>
      <w:r>
        <w:t xml:space="preserve">Sudan Khartoum</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Sudan Khartoum</dc:title>
  <dc:creator/>
  <dc:language>en</dc:language>
  <cp:keywords/>
  <dcterms:created xsi:type="dcterms:W3CDTF">2026-07-29T05:28:13Z</dcterms:created>
  <dcterms:modified xsi:type="dcterms:W3CDTF">2026-07-29T05:28:13Z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