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Legal</w:t>
      </w:r>
      <w:r>
        <w:t xml:space="preserve"> </w:t>
      </w:r>
      <w:r>
        <w:t xml:space="preserve">Complexities</w:t>
      </w:r>
      <w:r>
        <w:t xml:space="preserve"> </w:t>
      </w:r>
      <w:r>
        <w:t xml:space="preserve">in</w:t>
      </w:r>
      <w:r>
        <w:t xml:space="preserve"> </w:t>
      </w:r>
      <w:r>
        <w:t xml:space="preserve">Thailand</w:t>
      </w:r>
      <w:r>
        <w:t xml:space="preserve"> </w:t>
      </w:r>
      <w:r>
        <w:t xml:space="preserve">Bangkok</w:t>
      </w:r>
    </w:p>
    <w:bookmarkStart w:id="35" w:name="X889ca68a1e9c301f4583b217091200c3ae660a0"/>
    <w:p>
      <w:pPr>
        <w:pStyle w:val="Heading1"/>
      </w:pPr>
      <w:r>
        <w:t xml:space="preserve">Case Study: Strategic Legal Representation for Cross-Border Investment in Thailand Bangkok</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Kingdom of Thailand</w:t>
      </w:r>
      <w:r>
        <w:br/>
      </w:r>
      <w:r>
        <w:rPr>
          <w:bCs/>
          <w:b/>
        </w:rPr>
        <w:t xml:space="preserve">Focal City:</w:t>
      </w:r>
      <w:r>
        <w:t xml:space="preserve"> </w:t>
      </w:r>
      <w:r>
        <w:t xml:space="preserve">Bangkok</w:t>
      </w:r>
    </w:p>
    <w:bookmarkStart w:id="20" w:name="executive-summary"/>
    <w:p>
      <w:pPr>
        <w:pStyle w:val="Heading2"/>
      </w:pPr>
      <w:r>
        <w:t xml:space="preserve">1. Executive Summary</w:t>
      </w:r>
    </w:p>
    <w:p>
      <w:pPr>
        <w:pStyle w:val="FirstParagraph"/>
      </w:pPr>
      <w:r>
        <w:t xml:space="preserve">This Case Study examines the complex legal challenges faced by a multinational technology conglomerate seeking to establish a regional headquarters in Thailand, specifically within the bustling business hub of Bangkok. The primary objective was to navigate the intricate regulatory framework of Thai corporate law, secure necessary work permits and visas for expatriate staff, and ensure strict compliance with local labor laws. This document details how specialized legal counsel transformed potential regulatory hurdles into streamlined operational successes.</w:t>
      </w:r>
    </w:p>
    <w:bookmarkEnd w:id="20"/>
    <w:bookmarkStart w:id="21" w:name="client-profile-and-background"/>
    <w:p>
      <w:pPr>
        <w:pStyle w:val="Heading2"/>
      </w:pPr>
      <w:r>
        <w:t xml:space="preserve">2. Client Profile and Background</w:t>
      </w:r>
    </w:p>
    <w:p>
      <w:pPr>
        <w:pStyle w:val="FirstParagraph"/>
      </w:pPr>
      <w:r>
        <w:t xml:space="preserve">The client is a global software development firm, herein referred to as "TechGlobal Inc." With operations in Silicon Valley, London, and Singapore, TechGlobal sought to expand its footprint in Southeast Asia. They identified Bangkok as the ideal location due to its strategic geographic position within the Association of Southeast Asian Nations (ASEAN) and its status as a major economic center. However, prior attempts by other subsidiaries to enter the Thai market had failed due to misinterpretations of foreign business restrictions and labor quotas.</w:t>
      </w:r>
    </w:p>
    <w:bookmarkEnd w:id="21"/>
    <w:bookmarkStart w:id="26" w:name="X2aad9d6157a98d02ee85a73e880176009cfaa7e"/>
    <w:p>
      <w:pPr>
        <w:pStyle w:val="Heading2"/>
      </w:pPr>
      <w:r>
        <w:t xml:space="preserve">3. The Challenge: Navigating the Legal Landscape in Thailand Bangkok</w:t>
      </w:r>
    </w:p>
    <w:p>
      <w:pPr>
        <w:pStyle w:val="FirstParagraph"/>
      </w:pPr>
      <w:r>
        <w:t xml:space="preserve">The entry into the Thai market presented several significant legal obstacles that required immediate and expert attention:</w:t>
      </w:r>
    </w:p>
    <w:bookmarkStart w:id="22" w:name="a.-foreign-business-act-fba-restrictions"/>
    <w:p>
      <w:pPr>
        <w:pStyle w:val="Heading3"/>
      </w:pPr>
      <w:r>
        <w:t xml:space="preserve">A. Foreign Business Act (FBA) Restrictions</w:t>
      </w:r>
    </w:p>
    <w:p>
      <w:pPr>
        <w:pStyle w:val="FirstParagraph"/>
      </w:pPr>
      <w:r>
        <w:t xml:space="preserve">Thailand enforces strict regulations regarding foreign ownership of businesses. The Foreign Business Act B.E. 2542 (1999) lists many business activities reserved for Thai nationals or requiring a specific license for foreigners. As a technology firm, TechGlobal’s core services fell into gray areas where classification could determine whether they needed a Foreign Business License (FBL), which is notoriously difficult to obtain without substantial local partnership or Board of Investment (BOI) promotion.</w:t>
      </w:r>
    </w:p>
    <w:bookmarkEnd w:id="22"/>
    <w:bookmarkStart w:id="23" w:name="Xec4ee9caa0e689e822c4cf8b8468a6067565956"/>
    <w:p>
      <w:pPr>
        <w:pStyle w:val="Heading3"/>
      </w:pPr>
      <w:r>
        <w:t xml:space="preserve">B. Corporate Structuring and BOI Promotion</w:t>
      </w:r>
    </w:p>
    <w:p>
      <w:pPr>
        <w:pStyle w:val="FirstParagraph"/>
      </w:pPr>
      <w:r>
        <w:t xml:space="preserve">To bypass FBA restrictions, the client needed to structure their entity in a way that qualified for tax incentives and exemption from foreign business limits. This required deep knowledge of the Board of Investment (BOI) guidelines, which are specific to certain high-tech industries promoted by the Thai government.</w:t>
      </w:r>
    </w:p>
    <w:bookmarkEnd w:id="23"/>
    <w:bookmarkStart w:id="24" w:name="c.-labor-law-compliance-and-work-permits"/>
    <w:p>
      <w:pPr>
        <w:pStyle w:val="Heading3"/>
      </w:pPr>
      <w:r>
        <w:t xml:space="preserve">C. Labor Law Compliance and Work Permits</w:t>
      </w:r>
    </w:p>
    <w:p>
      <w:pPr>
        <w:pStyle w:val="FirstParagraph"/>
      </w:pPr>
      <w:r>
        <w:t xml:space="preserve">A critical challenge was hiring a workforce comprising both local Thai talent and expatriate experts. Thailand has strict quotas on foreign workers (typically requiring four Thai employees for every one foreign worker). Furthermore, the process for obtaining work permits in Bangkok is bureaucratic, requiring precise documentation from the client’s registered office address, financial statements, and proof of capital injection.</w:t>
      </w:r>
    </w:p>
    <w:bookmarkEnd w:id="24"/>
    <w:bookmarkStart w:id="25" w:name="d.-leasehold-and-property-rights"/>
    <w:p>
      <w:pPr>
        <w:pStyle w:val="Heading3"/>
      </w:pPr>
      <w:r>
        <w:t xml:space="preserve">D. Leasehold and Property Rights</w:t>
      </w:r>
    </w:p>
    <w:p>
      <w:pPr>
        <w:pStyle w:val="FirstParagraph"/>
      </w:pPr>
      <w:r>
        <w:t xml:space="preserve">The client intended to lease commercial office space in a prime district of Bangkok, such as Silom or Sukhumvit. Foreign entities cannot own land outright in Thailand but can lease it for up to 30 years, with potential renewals. Ensuring the lease agreement was enforceable under Thai law and protected against future landlord disputes was essential.</w:t>
      </w:r>
    </w:p>
    <w:bookmarkEnd w:id="25"/>
    <w:bookmarkEnd w:id="26"/>
    <w:bookmarkStart w:id="31" w:name="the-legal-strategy-and-implementation"/>
    <w:p>
      <w:pPr>
        <w:pStyle w:val="Heading2"/>
      </w:pPr>
      <w:r>
        <w:t xml:space="preserve">4. The Legal Strategy and Implementation</w:t>
      </w:r>
    </w:p>
    <w:p>
      <w:pPr>
        <w:pStyle w:val="FirstParagraph"/>
      </w:pPr>
      <w:r>
        <w:t xml:space="preserve">The assigned Lawyer team adopted a multi-faceted approach to address these challenges, leveraging local expertise and international best practices.</w:t>
      </w:r>
    </w:p>
    <w:bookmarkStart w:id="27" w:name="a.-strategic-entity-structuring-via-boi"/>
    <w:p>
      <w:pPr>
        <w:pStyle w:val="Heading3"/>
      </w:pPr>
      <w:r>
        <w:t xml:space="preserve">A. Strategic Entity Structuring via BOI</w:t>
      </w:r>
    </w:p>
    <w:p>
      <w:pPr>
        <w:pStyle w:val="FirstParagraph"/>
      </w:pPr>
      <w:r>
        <w:t xml:space="preserve">The Lawyer team determined that applying for promotion from the Board of Investment (BOI) was the most viable path. They prepared a comprehensive business plan that highlighted TechGlobal’s contribution to Thailand’s digital economy, including job creation and technology transfer. By classifying the entity as an "Information Technology Service" under BOI promotion, TechGlobal was granted exemptions from certain FBA restrictions on foreign ownership.</w:t>
      </w:r>
    </w:p>
    <w:bookmarkEnd w:id="27"/>
    <w:bookmarkStart w:id="28" w:name="b.-securing-regulatory-approvals"/>
    <w:p>
      <w:pPr>
        <w:pStyle w:val="Heading3"/>
      </w:pPr>
      <w:r>
        <w:t xml:space="preserve">B. Securing Regulatory Approvals</w:t>
      </w:r>
    </w:p>
    <w:p>
      <w:pPr>
        <w:pStyle w:val="FirstParagraph"/>
      </w:pPr>
      <w:r>
        <w:t xml:space="preserve">The legal team managed the entire registration process with the Department of Business Development (DBD) in Bangkok. They ensured that the company’s registered capital met the minimum requirements for issuing work permits (400,000 THB per foreign employee). This required coordinating closely with tax advisors to ensure proper fund transfers into Thailand.</w:t>
      </w:r>
    </w:p>
    <w:bookmarkEnd w:id="28"/>
    <w:bookmarkStart w:id="29" w:name="c.-labor-contracts-and-visa-management"/>
    <w:p>
      <w:pPr>
        <w:pStyle w:val="Heading3"/>
      </w:pPr>
      <w:r>
        <w:t xml:space="preserve">C. Labor Contracts and Visa Management</w:t>
      </w:r>
    </w:p>
    <w:p>
      <w:pPr>
        <w:pStyle w:val="FirstParagraph"/>
      </w:pPr>
      <w:r>
        <w:t xml:space="preserve">The Lawyer drafted employment contracts that complied with the Thai Labor Protection Act. Special attention was paid to severance pay clauses, which are mandatory for long-term employees in Thailand. Additionally, the team handled multiple Non-Immigrant B visa applications at the Ministry of Foreign Affairs and later work permit processing at the Department of Employment in Bangkok, ensuring zero delays in staff onboarding.</w:t>
      </w:r>
    </w:p>
    <w:bookmarkEnd w:id="29"/>
    <w:bookmarkStart w:id="30" w:name="d.-commercial-lease-negotiation"/>
    <w:p>
      <w:pPr>
        <w:pStyle w:val="Heading3"/>
      </w:pPr>
      <w:r>
        <w:t xml:space="preserve">D. Commercial Lease Negotiation</w:t>
      </w:r>
    </w:p>
    <w:p>
      <w:pPr>
        <w:pStyle w:val="FirstParagraph"/>
      </w:pPr>
      <w:r>
        <w:t xml:space="preserve">The legal counsel reviewed standard commercial leases offered by major landlords in Bangkok. They negotiated clauses that allowed for early termination if regulatory approvals were denied and ensured that the landlord provided necessary documents for work permit applications, such as title deeds and tax receipts.</w:t>
      </w:r>
    </w:p>
    <w:bookmarkEnd w:id="30"/>
    <w:bookmarkEnd w:id="31"/>
    <w:bookmarkStart w:id="32" w:name="outcomes-and-results"/>
    <w:p>
      <w:pPr>
        <w:pStyle w:val="Heading2"/>
      </w:pPr>
      <w:r>
        <w:t xml:space="preserve">5. Outcomes and Results</w:t>
      </w:r>
    </w:p>
    <w:p>
      <w:pPr>
        <w:pStyle w:val="FirstParagraph"/>
      </w:pPr>
      <w:r>
        <w:rPr>
          <w:bCs/>
          <w:b/>
        </w:rPr>
        <w:t xml:space="preserve">Total Time to Operational:</w:t>
      </w:r>
      <w:r>
        <w:t xml:space="preserve"> </w:t>
      </w:r>
      <w:r>
        <w:t xml:space="preserve">6 months (faster than industry average of 9-12 months).</w:t>
      </w:r>
      <w:r>
        <w:br/>
      </w:r>
      <w:r>
        <w:rPr>
          <w:bCs/>
          <w:b/>
        </w:rPr>
        <w:t xml:space="preserve">FBA Compliance Status:</w:t>
      </w:r>
      <w:r>
        <w:t xml:space="preserve"> </w:t>
      </w:r>
      <w:r>
        <w:t xml:space="preserve">Fully compliant via BOI Promotion Certificate.</w:t>
      </w:r>
      <w:r>
        <w:br/>
      </w:r>
      <w:r>
        <w:rPr>
          <w:bCs/>
          <w:b/>
        </w:rPr>
        <w:t xml:space="preserve">Work Permits Issued:</w:t>
      </w:r>
      <w:r>
        <w:t xml:space="preserve"> </w:t>
      </w:r>
      <w:r>
        <w:t xml:space="preserve">25 expatriate staff successfully onboarded.</w:t>
      </w:r>
      <w:r>
        <w:br/>
      </w:r>
    </w:p>
    <w:p>
      <w:pPr>
        <w:pStyle w:val="BodyText"/>
      </w:pPr>
      <w:r>
        <w:t xml:space="preserve">Tax Savings:</w:t>
      </w:r>
    </w:p>
    <w:p>
      <w:pPr>
        <w:pStyle w:val="BodyText"/>
      </w:pPr>
      <w:r>
        <w:t xml:space="preserve">The client successfully established its regional headquarters in Bangkok without facing any regulatory fines or operational shutdowns. The BOI promotion resulted in a significant corporate income tax holiday for eight years, providing substantial cost savings.</w:t>
      </w:r>
    </w:p>
    <w:bookmarkEnd w:id="32"/>
    <w:bookmarkStart w:id="33" w:name="Xd17936c6345dcd6f19dfcbae663e217ff507ad4"/>
    <w:p>
      <w:pPr>
        <w:pStyle w:val="Heading2"/>
      </w:pPr>
      <w:r>
        <w:t xml:space="preserve">6. Key Takeaways for International Businesses</w:t>
      </w:r>
    </w:p>
    <w:p>
      <w:pPr>
        <w:numPr>
          <w:ilvl w:val="0"/>
          <w:numId w:val="1001"/>
        </w:numPr>
        <w:pStyle w:val="Compact"/>
      </w:pPr>
      <w:r>
        <w:rPr>
          <w:bCs/>
          <w:b/>
        </w:rPr>
        <w:t xml:space="preserve">Cultural Nuance Matters:</w:t>
      </w:r>
      <w:r>
        <w:t xml:space="preserve">In Thailand Bangkok, building relationships with government officials and understanding the bureaucratic culture is as important as the legal documents themselves.</w:t>
      </w:r>
    </w:p>
    <w:p>
      <w:pPr>
        <w:numPr>
          <w:ilvl w:val="0"/>
          <w:numId w:val="1001"/>
        </w:numPr>
        <w:pStyle w:val="Compact"/>
      </w:pPr>
      <w:r>
        <w:rPr>
          <w:bCs/>
          <w:b/>
        </w:rPr>
        <w:t xml:space="preserve">Differentiation is Critical:</w:t>
      </w:r>
      <w:r>
        <w:t xml:space="preserve">A generic Lawyer may not suffice. The complexity of Thai law, particularly regarding foreign business restrictions, demands counsel who specialize in cross-border investment.</w:t>
      </w:r>
    </w:p>
    <w:p>
      <w:pPr>
        <w:numPr>
          <w:ilvl w:val="0"/>
          <w:numId w:val="1001"/>
        </w:numPr>
        <w:pStyle w:val="Compact"/>
      </w:pPr>
      <w:r>
        <w:rPr>
          <w:bCs/>
          <w:b/>
        </w:rPr>
        <w:t xml:space="preserve">Proactive Compliance:</w:t>
      </w:r>
      <w:r>
        <w:t xml:space="preserve">Relying on standard international contracts can lead to severe penalties in Thailand. Local adaptation of legal documents is mandatory.</w:t>
      </w:r>
    </w:p>
    <w:bookmarkEnd w:id="33"/>
    <w:bookmarkStart w:id="34" w:name="conclusion"/>
    <w:p>
      <w:pPr>
        <w:pStyle w:val="Heading2"/>
      </w:pPr>
      <w:r>
        <w:t xml:space="preserve">7. Conclusion</w:t>
      </w:r>
    </w:p>
    <w:p>
      <w:pPr>
        <w:pStyle w:val="FirstParagraph"/>
      </w:pPr>
      <w:r>
        <w:t xml:space="preserve">This Case Study demonstrates that while the legal environment in Thailand Bangkok presents significant challenges for foreign investors, these hurdles are surmountable with expert guidance. The successful entry of TechGlobal Inc. serves as a blueprint for other multinational corporations aiming to penetrate the Thai market. By leveraging strategic legal advice focused on BOI incentives and rigorous labor law compliance, businesses can turn regulatory complexity into competitive advantage.</w:t>
      </w:r>
    </w:p>
    <w:p>
      <w:pPr>
        <w:pStyle w:val="BodyText"/>
      </w:pPr>
      <w:r>
        <w:t xml:space="preserve">The role of the Lawyer in this context extended beyond mere document preparation; it involved strategic planning, government liaison, and risk management. For any entity considering presence in Thailand Bangkok, engaging specialized legal counsel early in the process is not just advisable—it is essential for sustainable growth.</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Legal Complexities in Thailand Bangkok</dc:title>
  <dc:creator/>
  <dc:language>en</dc:language>
  <cp:keywords/>
  <dcterms:created xsi:type="dcterms:W3CDTF">2026-07-29T12:41:20Z</dcterms:created>
  <dcterms:modified xsi:type="dcterms:W3CDTF">2026-07-29T12:41:20Z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