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Legal</w:t>
      </w:r>
      <w:r>
        <w:t xml:space="preserve"> </w:t>
      </w:r>
      <w:r>
        <w:t xml:space="preserve">Excellence</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Legal</w:t>
      </w:r>
      <w:r>
        <w:t xml:space="preserve"> </w:t>
      </w:r>
      <w:r>
        <w:t xml:space="preserve">Representation</w:t>
      </w:r>
      <w:r>
        <w:t xml:space="preserve"> </w:t>
      </w:r>
      <w:r>
        <w:t xml:space="preserve">in</w:t>
      </w:r>
      <w:r>
        <w:t xml:space="preserve"> </w:t>
      </w:r>
      <w:r>
        <w:t xml:space="preserve">Turkey</w:t>
      </w:r>
      <w:r>
        <w:t xml:space="preserve"> </w:t>
      </w:r>
      <w:r>
        <w:t xml:space="preserve">Ankara</w:t>
      </w:r>
    </w:p>
    <w:bookmarkStart w:id="29" w:name="X43fdffa3d0a6ad4b5bd81ee10298ed3b1b408b6"/>
    <w:p>
      <w:pPr>
        <w:pStyle w:val="Heading1"/>
      </w:pPr>
      <w:r>
        <w:t xml:space="preserve">Legal Excellence in the Capital: A Case Study on Legal Representation in Turkey Ankara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Jurisdiction:</w:t>
      </w:r>
    </w:p>
    <w:bookmarkStart w:id="20" w:name="executive-summary"/>
    <w:p>
      <w:pPr>
        <w:pStyle w:val="Heading2"/>
      </w:pPr>
      <w:r>
        <w:t xml:space="preserve">Executive Summary</w:t>
      </w:r>
    </w:p>
    <w:p>
      <w:pPr>
        <w:pStyle w:val="FirstParagraph"/>
      </w:pPr>
      <w:r>
        <w:t xml:space="preserve">In the rapidly evolving legal landscape of modern Turkey, the role of a competent Lawyer is not merely about interpreting statutes but about navigating a complex interplay of historical codes and contemporary judicial reforms. This Case Study examines a high-stakes commercial dispute resolved within the jurisdiction of Turkey Ankara. The city serves as the political and administrative heart of the nation, meaning that legal proceedings here often carry significant weight beyond mere local commerce, influencing broader national precedents.</w:t>
      </w:r>
    </w:p>
    <w:p>
      <w:pPr>
        <w:pStyle w:val="BodyText"/>
      </w:pPr>
      <w:r>
        <w:t xml:space="preserve">The objective of this study is to highlight how strategic legal representation in Turkey Ankara can mitigate financial risk and ensure procedural justice. By analyzing a specific case involving international trade contracts and local regulatory compliance, we demonstrate the necessity of engaging a Lawyer who possesses deep knowledge of both Turkish civil law principles and the unique judicial dynamics of the capital city.</w:t>
      </w:r>
    </w:p>
    <w:bookmarkEnd w:id="20"/>
    <w:bookmarkStart w:id="21" w:name="X0bef51db32299281c3bc219ad10023b5281990a"/>
    <w:p>
      <w:pPr>
        <w:pStyle w:val="Heading2"/>
      </w:pPr>
      <w:r>
        <w:t xml:space="preserve">Background: The Complexities of Turkey Ankara</w:t>
      </w:r>
    </w:p>
    <w:p>
      <w:pPr>
        <w:pStyle w:val="FirstParagraph"/>
      </w:pPr>
      <w:r>
        <w:t xml:space="preserve">Ankara is distinct from Istanbul as Turkey’s economic hub. While Istanbul handles much of the international maritime and tourism-related legal volume, Turkey Ankara is where domestic policy, government tenders, and constitutional interpretations are frequently contested. For a foreign or domestic entity operating here, the stakes are different. The local courts in Turkey Ankara often deal with cases involving state entities or high-level regulatory bodies.</w:t>
      </w:r>
    </w:p>
    <w:p>
      <w:pPr>
        <w:pStyle w:val="BodyText"/>
      </w:pPr>
      <w:r>
        <w:t xml:space="preserve">In this specific instance, a multinational technology firm sought to enter the public sector market in Turkey Ankara. However, they encountered significant hurdles regarding data sovereignty laws and public procurement regulations. The situation required immediate intervention by a Lawyer specializing in administrative and commercial law within the Turkish legal framework.</w:t>
      </w:r>
    </w:p>
    <w:bookmarkEnd w:id="21"/>
    <w:bookmarkStart w:id="22" w:name="the-case-scenario"/>
    <w:p>
      <w:pPr>
        <w:pStyle w:val="Heading2"/>
      </w:pPr>
      <w:r>
        <w:t xml:space="preserve">The Case Scenario</w:t>
      </w:r>
    </w:p>
    <w:p>
      <w:pPr>
        <w:pStyle w:val="FirstParagraph"/>
      </w:pPr>
      <w:r>
        <w:rPr>
          <w:iCs/>
          <w:i/>
          <w:bCs/>
          <w:b/>
        </w:rPr>
        <w:t xml:space="preserve">Case Overview:</w:t>
      </w:r>
      <w:r>
        <w:br/>
      </w:r>
      <w:r>
        <w:t xml:space="preserve">Client: GlobalTech Solutions (a foreign entity)</w:t>
      </w:r>
      <w:r>
        <w:br/>
      </w:r>
      <w:r>
        <w:t xml:space="preserve">Opposing Party: A consortium of local suppliers and the Ministry of Industry and Technology representatives.</w:t>
      </w:r>
      <w:r>
        <w:br/>
      </w:r>
      <w:r>
        <w:t xml:space="preserve">Jurisdiction: Commercial Courts of Turkey Ankara.</w:t>
      </w:r>
      <w:r>
        <w:br/>
      </w:r>
      <w:r>
        <w:t xml:space="preserve">Issue: Alleged breach of public tender regulations and subsequent freezing of assets.</w:t>
      </w:r>
    </w:p>
    <w:p>
      <w:pPr>
        <w:pStyle w:val="BodyText"/>
      </w:pPr>
      <w:r>
        <w:t xml:space="preserve">The client, GlobalTech Solutions, had been disqualified from a major IT infrastructure project in Turkey Ankara. The disqualification was based on allegations that their software architecture violated new data localization mandates enacted by the Turkish government. Furthermore, local competitors filed complaints alleging unfair competition, leading to an injunction issued by a court in Turkey Ankara that froze the client’s local bank accounts.</w:t>
      </w:r>
    </w:p>
    <w:bookmarkEnd w:id="22"/>
    <w:bookmarkStart w:id="23" w:name="legal-strategy-and-execution"/>
    <w:p>
      <w:pPr>
        <w:pStyle w:val="Heading2"/>
      </w:pPr>
      <w:r>
        <w:t xml:space="preserve">Legal Strategy and Execution</w:t>
      </w:r>
    </w:p>
    <w:p>
      <w:pPr>
        <w:pStyle w:val="FirstParagraph"/>
      </w:pPr>
      <w:r>
        <w:t xml:space="preserve">The appointed Lawyer in this Case Study adopted a multi-pronged approach. Recognizing that the legal culture in Turkey Ankara emphasizes written jurisprudence and procedural rigor, the Lawyer focused on three key areas:</w:t>
      </w:r>
    </w:p>
    <w:p>
      <w:pPr>
        <w:numPr>
          <w:ilvl w:val="0"/>
          <w:numId w:val="1001"/>
        </w:numPr>
        <w:pStyle w:val="Compact"/>
      </w:pPr>
      <w:r>
        <w:rPr>
          <w:bCs/>
          <w:b/>
        </w:rPr>
        <w:t xml:space="preserve">Jurisdictional Precision:</w:t>
      </w:r>
      <w:r>
        <w:t xml:space="preserve"> </w:t>
      </w:r>
      <w:r>
        <w:t xml:space="preserve">The first step was to challenge the jurisdiction of the initial complaints. The Lawyer argued that certain technical aspects of the dispute fell under international arbitration clauses agreed upon in previous contracts, thereby moving the matter away from local commercial courts which might be biased towards domestic entities.</w:t>
      </w:r>
    </w:p>
    <w:p>
      <w:pPr>
        <w:numPr>
          <w:ilvl w:val="0"/>
          <w:numId w:val="1001"/>
        </w:numPr>
        <w:pStyle w:val="Compact"/>
      </w:pPr>
      <w:r>
        <w:rPr>
          <w:bCs/>
          <w:b/>
        </w:rPr>
        <w:t xml:space="preserve">Navigating Turkish Legislation:</w:t>
      </w:r>
      <w:r>
        <w:t xml:space="preserve"> </w:t>
      </w:r>
      <w:r>
        <w:t xml:space="preserve">The core argument rested on a nuanced interpretation of Turkey’s Personal Data Protection Law (KVKK). The Lawyer demonstrated through expert testimony that GlobalTech’s cloud infrastructure utilized encrypted tunnels that did not constitute "local storage" in the spirit of the law, but rather met international security standards endorsed by Turkish regulators.</w:t>
      </w:r>
    </w:p>
    <w:p>
      <w:pPr>
        <w:numPr>
          <w:ilvl w:val="0"/>
          <w:numId w:val="1001"/>
        </w:numPr>
        <w:pStyle w:val="Compact"/>
      </w:pPr>
      <w:r>
        <w:rPr>
          <w:bCs/>
          <w:b/>
        </w:rPr>
        <w:t xml:space="preserve">Diplomatic Engagement:</w:t>
      </w:r>
      <w:r>
        <w:t xml:space="preserve"> </w:t>
      </w:r>
      <w:r>
        <w:t xml:space="preserve">Given the setting in Turkey Ankara, where many legal outcomes are influenced by administrative pressure, the Lawyer engaged in parallel negotiations with regulatory bodies. This required a deep understanding of how decisions are made in the capital's bureaucratic corridors.</w:t>
      </w:r>
    </w:p>
    <w:bookmarkEnd w:id="23"/>
    <w:bookmarkStart w:id="24" w:name="the-judicial-process"/>
    <w:p>
      <w:pPr>
        <w:pStyle w:val="Heading2"/>
      </w:pPr>
      <w:r>
        <w:t xml:space="preserve">The Judicial Process</w:t>
      </w:r>
    </w:p>
    <w:p>
      <w:pPr>
        <w:pStyle w:val="FirstParagraph"/>
      </w:pPr>
      <w:r>
        <w:t xml:space="preserve">The proceedings took place at the Commercial Court of Turkey Ankara. The process was rigorous, requiring extensive documentation translated into Turkish and certified according to strict notarization rules. The Lawyer ensured that every procedural deadline was met, as Turkish law is unforgiving regarding missed statutory timelines.</w:t>
      </w:r>
    </w:p>
    <w:p>
      <w:pPr>
        <w:pStyle w:val="BodyText"/>
      </w:pPr>
      <w:r>
        <w:t xml:space="preserve">During the hearings, the presiding judge in Turkey Ankara questioned both parties extensively about the technical details of data handling. The Lawyer’s preparation was critical here; unlike generalist practitioners, this case required a Lawyer who could speak fluently with IT experts and translate those complexities into legal arguments that resonated with judges accustomed to traditional commercial disputes.</w:t>
      </w:r>
    </w:p>
    <w:bookmarkEnd w:id="24"/>
    <w:bookmarkStart w:id="25" w:name="outcome-and-resolution"/>
    <w:p>
      <w:pPr>
        <w:pStyle w:val="Heading2"/>
      </w:pPr>
      <w:r>
        <w:t xml:space="preserve">Outcome and Resolution</w:t>
      </w:r>
    </w:p>
    <w:p>
      <w:pPr>
        <w:pStyle w:val="FirstParagraph"/>
      </w:pPr>
      <w:r>
        <w:t xml:space="preserve">The resolution was twofold. First, the court in Turkey Ankara lifted the asset freeze after accepting preliminary evidence from international auditors regarding data security compliance. Second, during mediation facilitated by the court—a common practice in Turkey’s judicial system to reduce backlog—the Lawyer successfully negotiated a settlement.</w:t>
      </w:r>
    </w:p>
    <w:p>
      <w:pPr>
        <w:pStyle w:val="BodyText"/>
      </w:pPr>
      <w:r>
        <w:t xml:space="preserve">The final agreement allowed GlobalTech Solutions to participate in a subsidiary contract for hardware supply, while the software component was partnered with a local Turkish firm. This outcome preserved the client’s reputation and financial stability. It demonstrated that while winning every legal battle is not always possible or advisable in Turkey Ankara, achieving a favorable business outcome through skilled legal representation is essential.</w:t>
      </w:r>
    </w:p>
    <w:bookmarkEnd w:id="25"/>
    <w:bookmarkStart w:id="26" w:name="key-takeaways-for-stakeholders"/>
    <w:p>
      <w:pPr>
        <w:pStyle w:val="Heading2"/>
      </w:pPr>
      <w:r>
        <w:t xml:space="preserve">Key Takeaways for Stakeholders</w:t>
      </w:r>
    </w:p>
    <w:p>
      <w:pPr>
        <w:pStyle w:val="FirstParagraph"/>
      </w:pPr>
      <w:r>
        <w:t xml:space="preserve">This Case Study offers several critical lessons for businesses and individuals considering legal action or preventive counsel in Turkey Ankara:</w:t>
      </w:r>
    </w:p>
    <w:p>
      <w:pPr>
        <w:numPr>
          <w:ilvl w:val="0"/>
          <w:numId w:val="1002"/>
        </w:numPr>
        <w:pStyle w:val="Compact"/>
      </w:pPr>
      <w:r>
        <w:rPr>
          <w:bCs/>
          <w:b/>
        </w:rPr>
        <w:t xml:space="preserve">Local Expertise is Non-Negotiable:</w:t>
      </w:r>
      <w:r>
        <w:t xml:space="preserve"> </w:t>
      </w:r>
      <w:r>
        <w:t xml:space="preserve">A Lawyer must have specific experience with the courts in Turkey Ankara. Laws may be national, but judicial interpretation can vary significantly between regions.</w:t>
      </w:r>
    </w:p>
    <w:p>
      <w:pPr>
        <w:numPr>
          <w:ilvl w:val="0"/>
          <w:numId w:val="1002"/>
        </w:numPr>
        <w:pStyle w:val="Compact"/>
      </w:pPr>
      <w:r>
        <w:rPr>
          <w:bCs/>
          <w:b/>
        </w:rPr>
        <w:t xml:space="preserve">Cultural Fluency:</w:t>
      </w:r>
      <w:r>
        <w:t xml:space="preserve"> </w:t>
      </w:r>
      <w:r>
        <w:t xml:space="preserve">The concept of "hukuk" (law) in Turkey includes a strong element of administrative discretion. A successful Lawyer understands not just the text of the law, but how it is applied by bureaucrats and judges in the capital.</w:t>
      </w:r>
    </w:p>
    <w:p>
      <w:pPr>
        <w:numPr>
          <w:ilvl w:val="0"/>
          <w:numId w:val="1002"/>
        </w:numPr>
        <w:pStyle w:val="Compact"/>
      </w:pPr>
      <w:r>
        <w:rPr>
          <w:bCs/>
          <w:b/>
        </w:rPr>
        <w:t xml:space="preserve">Proactive Compliance:</w:t>
      </w:r>
      <w:r>
        <w:t xml:space="preserve"> </w:t>
      </w:r>
      <w:r>
        <w:t xml:space="preserve">Reactive litigation is expensive and risky. The most effective Lawyers in Turkey Ankara advise clients on compliance before disputes arise, particularly regarding data laws and public procurement rules.</w:t>
      </w:r>
    </w:p>
    <w:bookmarkEnd w:id="26"/>
    <w:bookmarkStart w:id="27" w:name="X8f0bc0df47be8674014c0e3b9f5b6c64fe87022"/>
    <w:p>
      <w:pPr>
        <w:pStyle w:val="Heading2"/>
      </w:pPr>
      <w:r>
        <w:t xml:space="preserve">Broader Implications for the Legal Profession</w:t>
      </w:r>
    </w:p>
    <w:p>
      <w:pPr>
        <w:pStyle w:val="FirstParagraph"/>
      </w:pPr>
      <w:r>
        <w:t xml:space="preserve">The success of this case underscores the evolving role of the Lawyer in Turkey. As Turkey continues to integrate with global markets while strengthening its sovereign regulatory framework, legal practitioners must be bilingual not just in language, but in culture and code. The specific context of Turkey Ankara adds a layer of political sensitivity that requires Lawyers to be adept at risk management as much as litigation.</w:t>
      </w:r>
    </w:p>
    <w:p>
      <w:pPr>
        <w:pStyle w:val="BodyText"/>
      </w:pPr>
      <w:r>
        <w:t xml:space="preserve">For foreign investors, understanding the local legal ecosystem is vital. The stability provided by a knowledgeable Lawyer can mean the difference between market failure and sustainable growth. In Turkey Ankara, where policy shifts are frequent due to its role as the seat of government, adaptability in legal strategy is paramount.</w:t>
      </w:r>
    </w:p>
    <w:bookmarkEnd w:id="27"/>
    <w:bookmarkStart w:id="28" w:name="conclusion"/>
    <w:p>
      <w:pPr>
        <w:pStyle w:val="Heading2"/>
      </w:pPr>
      <w:r>
        <w:t xml:space="preserve">Conclusion</w:t>
      </w:r>
    </w:p>
    <w:p>
      <w:pPr>
        <w:pStyle w:val="FirstParagraph"/>
      </w:pPr>
      <w:r>
        <w:t xml:space="preserve">In conclusion, this Case Study illustrates that navigating the legal landscape in Turkey Ankara requires more than just theoretical knowledge of Turkish law. It demands a Lawyer who is deeply embedded in the local professional community, understands the nuances of judicial practice in the capital, and can effectively bridge cultural and regulatory gaps. For any entity operating in or with Turkey Ankara, securing such specialized legal counsel is not an expense but a strategic investment that safeguards interests against the complex realities of regional law.</w:t>
      </w:r>
    </w:p>
    <w:p>
      <w:pPr>
        <w:pStyle w:val="BodyText"/>
      </w:pPr>
      <w:r>
        <w:t xml:space="preserve">As Turkey continues to develop its economic corridors, the demand for high-caliber legal services in centers like Turkey Ankara will only grow. This document serves as a testament to the importance of precise, culturally aware, and strategically sound legal representation in achieving justice and business success.</w:t>
      </w:r>
    </w:p>
    <w:p>
      <w:pPr>
        <w:pStyle w:val="BodyText"/>
      </w:pPr>
      <w:r>
        <w:t xml:space="preserve">© 2023 Legal Insights International. All Rights Reserved.</w:t>
      </w:r>
    </w:p>
    <w:p>
      <w:pPr>
        <w:pStyle w:val="BodyText"/>
      </w:pPr>
      <w:r>
        <w:rPr>
          <w:iCs/>
          <w:i/>
        </w:rPr>
        <w:t xml:space="preserve">Note: This document is for informational purposes only and does not constitute legal advice. Consult a qualified Lawyer for specific legal matters in Turkey Ankara.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Excellence in the Capital: A Case Study on Legal Representation in Turkey Ankara</dc:title>
  <dc:creator/>
  <dc:language>en</dc:language>
  <cp:keywords/>
  <dcterms:created xsi:type="dcterms:W3CDTF">2026-07-29T06:44:51Z</dcterms:created>
  <dcterms:modified xsi:type="dcterms:W3CDTF">2026-07-29T06:44:51Z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