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Istanbul</w:t>
      </w:r>
    </w:p>
    <w:bookmarkStart w:id="27" w:name="X201ce45d9d2bb501edf3c38465ac1f85631ab3f"/>
    <w:p>
      <w:pPr>
        <w:pStyle w:val="Heading1"/>
      </w:pPr>
      <w:r>
        <w:t xml:space="preserve">A Landmark Defense: Navigating Complex Commercial Litigation for International Investors in Turkey Istanbul</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Turkey Istanbul. This document details how specialized</w:t>
      </w:r>
      <w:r>
        <w:t xml:space="preserve"> </w:t>
      </w:r>
      <w:r>
        <w:rPr>
          <w:bCs/>
          <w:b/>
        </w:rPr>
        <w:t xml:space="preserve">Lawyer</w:t>
      </w:r>
      <w:r>
        <w:t xml:space="preserve"> </w:t>
      </w:r>
      <w:r>
        <w:t xml:space="preserve">services were instrumental in overcoming bureaucratic hurdles, interpreting complex zoning laws, and protecting the client's assets against unforeseen legal disputes. The successful outcome serves as a blueprint for foreign entities looking to engage with the Turkish market.</w:t>
      </w:r>
    </w:p>
    <w:bookmarkEnd w:id="20"/>
    <w:bookmarkStart w:id="21" w:name="client-background-and-market-context"/>
    <w:p>
      <w:pPr>
        <w:pStyle w:val="Heading2"/>
      </w:pPr>
      <w:r>
        <w:t xml:space="preserve">Client Background and Market Context</w:t>
      </w:r>
    </w:p>
    <w:p>
      <w:pPr>
        <w:pStyle w:val="FirstParagraph"/>
      </w:pPr>
      <w:r>
        <w:t xml:space="preserve">Apex Global Holdings is a prominent developer based in London, specializing in sustainable urban housing projects. Recognizing the rapid economic growth and strategic geographic location of</w:t>
      </w:r>
      <w:r>
        <w:t xml:space="preserve"> </w:t>
      </w:r>
      <w:r>
        <w:rPr>
          <w:bCs/>
          <w:b/>
        </w:rPr>
        <w:t xml:space="preserve">Turkey Istanbul</w:t>
      </w:r>
      <w:r>
        <w:t xml:space="preserve">, Apex sought to acquire a prime plot of land on the European side, specifically near the growing tech hub in Maslak. The city of Istanbul is not merely a financial center but a cultural bridge between continents, offering immense potential for real estate investment. However, it is also known for its dense population, intricate historical preservation laws, and complex bureaucratic procedures that can stall projects indefinitely without expert guidance.</w:t>
      </w:r>
      <w:r>
        <w:t xml:space="preserve"> </w:t>
      </w:r>
      <w:r>
        <w:t xml:space="preserve">The client’s goal was twofold: first, to acquire the land through a public tender process transparently; and second, to obtain immediate building permits upon acquisition to begin construction within twelve months. Failure to meet these timelines would result in significant financial penalties and reputational damage globally.</w:t>
      </w:r>
    </w:p>
    <w:bookmarkEnd w:id="21"/>
    <w:bookmarkStart w:id="22" w:name="legal-challenges-identified"/>
    <w:p>
      <w:pPr>
        <w:pStyle w:val="Heading2"/>
      </w:pPr>
      <w:r>
        <w:t xml:space="preserve">Legal Challenges Identified</w:t>
      </w:r>
    </w:p>
    <w:p>
      <w:pPr>
        <w:pStyle w:val="FirstParagraph"/>
      </w:pPr>
      <w:r>
        <w:t xml:space="preserve">Upon engaging local counsel, several critical legal barriers were identified that posed threats to the project’s viability in</w:t>
      </w:r>
      <w:r>
        <w:t xml:space="preserve"> </w:t>
      </w:r>
      <w:r>
        <w:rPr>
          <w:bCs/>
          <w:b/>
        </w:rPr>
        <w:t xml:space="preserve">Turkey Istanbul</w:t>
      </w:r>
      <w:r>
        <w:t xml:space="preserve">:</w:t>
      </w:r>
      <w:r>
        <w:t xml:space="preserve"> </w:t>
      </w:r>
      <w:r>
        <w:t xml:space="preserve">1. **Zoning Reclassification Disputes:** The land was initially designated for commercial use only. Apex intended to build a mixed-use facility (residential and retail). Changing this classification required approval from multiple municipal councils, which often involves lengthy public consultation periods and potential objections from local residents or NGOs concerned about infrastructure strain.</w:t>
      </w:r>
      <w:r>
        <w:t xml:space="preserve"> </w:t>
      </w:r>
      <w:r>
        <w:t xml:space="preserve">2. **Title Deed Complications:** Preliminary due diligence revealed that the land title deed had historical liens dating back to the 1980s related to unpaid municipal taxes. While these were legally time-barred in many jurisdictions, Turkish property law requires a specific judicial process to clear such encumbrances before a sale can be finalized in the Land Registry Directorate.</w:t>
      </w:r>
      <w:r>
        <w:t xml:space="preserve"> </w:t>
      </w:r>
      <w:r>
        <w:t xml:space="preserve">3. **Environmental Impact Assessments:** Istanbul has strict environmental protections, particularly for areas near forest zones and coastlines. The proposed site bordered a protected green area, triggering mandatory high-level environmental impact assessments that could delay permits for years if not handled proactively by an experienced</w:t>
      </w:r>
      <w:r>
        <w:t xml:space="preserve"> </w:t>
      </w:r>
      <w:r>
        <w:rPr>
          <w:bCs/>
          <w:b/>
        </w:rPr>
        <w:t xml:space="preserve">Lawyer</w:t>
      </w:r>
      <w:r>
        <w:t xml:space="preserve">.</w:t>
      </w:r>
      <w:r>
        <w:t xml:space="preserve"> </w:t>
      </w:r>
      <w:r>
        <w:t xml:space="preserve">4. **Foreign Ownership Restrictions:** Although foreign ownership of real estate in Turkey is permitted, there are reciprocity clauses and area limitations based on the total land owned by foreigners in specific districts. Ensuring Apex’s ownership structure complied with these nuances was critical to avoid contract invalidation.</w:t>
      </w:r>
    </w:p>
    <w:bookmarkEnd w:id="22"/>
    <w:bookmarkStart w:id="23" w:name="the-legal-strategy"/>
    <w:p>
      <w:pPr>
        <w:pStyle w:val="Heading2"/>
      </w:pPr>
      <w:r>
        <w:t xml:space="preserve">The Legal Strategy</w:t>
      </w:r>
    </w:p>
    <w:p>
      <w:pPr>
        <w:pStyle w:val="FirstParagraph"/>
      </w:pPr>
      <w:r>
        <w:t xml:space="preserve">To address these challenges, our firm deployed a multi-tiered legal strategy tailored specifically for the Turkish context of</w:t>
      </w:r>
      <w:r>
        <w:t xml:space="preserve"> </w:t>
      </w:r>
      <w:r>
        <w:rPr>
          <w:bCs/>
          <w:b/>
        </w:rPr>
        <w:t xml:space="preserve">Turkey Istanbul</w:t>
      </w:r>
      <w:r>
        <w:t xml:space="preserve">:</w:t>
      </w:r>
      <w:r>
        <w:t xml:space="preserve"> </w:t>
      </w:r>
      <w:r>
        <w:t xml:space="preserve">**Phase 1: Comprehensive Due Diligence and Title Clearing**</w:t>
      </w:r>
      <w:r>
        <w:t xml:space="preserve"> </w:t>
      </w:r>
      <w:r>
        <w:t xml:space="preserve">Our team conducted an exhaustive audit of the land registry. We filed administrative petitions to formally acknowledge the time-barred status of the old municipal taxes, effectively forcing their removal from the title record before bidding. This proactive step ensured that Apex’s bid was clean and competitive, eliminating hesitation among other bidders who might have been wary of hidden liabilities.</w:t>
      </w:r>
      <w:r>
        <w:t xml:space="preserve"> </w:t>
      </w:r>
      <w:r>
        <w:t xml:space="preserve">**Phase 2: Strategic Municipal Engagement and Zoning Advocacy**</w:t>
      </w:r>
      <w:r>
        <w:t xml:space="preserve"> </w:t>
      </w:r>
      <w:r>
        <w:t xml:space="preserve">Instead of waiting for formal reclassification requests—which are often rejected outright—our</w:t>
      </w:r>
      <w:r>
        <w:t xml:space="preserve"> </w:t>
      </w:r>
      <w:r>
        <w:rPr>
          <w:bCs/>
          <w:b/>
        </w:rPr>
        <w:t xml:space="preserve">Lawyer</w:t>
      </w:r>
      <w:r>
        <w:t xml:space="preserve"> </w:t>
      </w:r>
      <w:r>
        <w:t xml:space="preserve">team engaged in early dialogue with the Istanbul Metropolitan Municipality’s urban transformation department. We presented a revised architectural plan that minimized environmental impact and maximized public utility (including dedicating space for a small public park). By framing the project as community-enhancing rather than purely profit-driven, we secured preliminary support for zoning reclassification from key municipal stakeholders.</w:t>
      </w:r>
      <w:r>
        <w:t xml:space="preserve"> </w:t>
      </w:r>
      <w:r>
        <w:t xml:space="preserve">**Phase 3: Environmental Compliance Pre-Emption**</w:t>
      </w:r>
      <w:r>
        <w:t xml:space="preserve"> </w:t>
      </w:r>
      <w:r>
        <w:t xml:space="preserve">We hired independent environmental experts to conduct a pre-assessment report that exceeded the minimum requirements of Turkish law. This report was submitted alongside the building permit application, demonstrating compliance with all ecological standards regarding soil stability and biodiversity protection. This preemptive measure significantly accelerated the review process by municipal inspectors in</w:t>
      </w:r>
      <w:r>
        <w:t xml:space="preserve"> </w:t>
      </w:r>
      <w:r>
        <w:rPr>
          <w:bCs/>
          <w:b/>
        </w:rPr>
        <w:t xml:space="preserve">Turkey Istanbul</w:t>
      </w:r>
      <w:r>
        <w:t xml:space="preserve">.</w:t>
      </w:r>
      <w:r>
        <w:t xml:space="preserve"> </w:t>
      </w:r>
      <w:r>
        <w:t xml:space="preserve">**Phase 4: Structural Protection for Foreign Investment**</w:t>
      </w:r>
      <w:r>
        <w:t xml:space="preserve"> </w:t>
      </w:r>
      <w:r>
        <w:t xml:space="preserve">To address foreign ownership restrictions, we restructured Apex’s Turkish subsidiary to ensure it met all reciprocity criteria. We also negotiated specific clauses into the purchase agreement that protected Apex from any future regulatory changes regarding foreign investment caps, ensuring their investment remained secure regardless of policy shifts in Ankara or Istanbul.</w:t>
      </w:r>
    </w:p>
    <w:bookmarkEnd w:id="23"/>
    <w:bookmarkStart w:id="24" w:name="outcomes-and-results"/>
    <w:p>
      <w:pPr>
        <w:pStyle w:val="Heading2"/>
      </w:pPr>
      <w:r>
        <w:t xml:space="preserve">Outcomes and Results</w:t>
      </w:r>
    </w:p>
    <w:p>
      <w:pPr>
        <w:pStyle w:val="FirstParagraph"/>
      </w:pPr>
      <w:r>
        <w:t xml:space="preserve">The legal strategy yielded exceptional results:</w:t>
      </w:r>
      <w:r>
        <w:t xml:space="preserve"> </w:t>
      </w:r>
      <w:r>
        <w:t xml:space="preserve">* **Successful Land Acquisition:** Apex Global Holdings won the tender for the Maslak site at a competitive price, free of encumbrances.</w:t>
      </w:r>
      <w:r>
        <w:t xml:space="preserve"> </w:t>
      </w:r>
      <w:r>
        <w:t xml:space="preserve">* **Accelerated Permitting:** Thanks to the proactive environmental and zoning strategies, building permits were issued in eight months—four months ahead of schedule. This allowed construction to commence on time, saving the client approximately $1.2 million in financing costs and penalty clauses.</w:t>
      </w:r>
      <w:r>
        <w:t xml:space="preserve"> </w:t>
      </w:r>
      <w:r>
        <w:t xml:space="preserve">* **Regulatory Precedent:** The case set a positive precedent for mixed-use developments near green belts in</w:t>
      </w:r>
      <w:r>
        <w:t xml:space="preserve"> </w:t>
      </w:r>
      <w:r>
        <w:rPr>
          <w:bCs/>
          <w:b/>
        </w:rPr>
        <w:t xml:space="preserve">Turkey Istanbul</w:t>
      </w:r>
      <w:r>
        <w:t xml:space="preserve">, potentially opening doors for similar projects by other international investors who rely on skilled legal advocacy to navigate the system.</w:t>
      </w:r>
    </w:p>
    <w:bookmarkEnd w:id="24"/>
    <w:bookmarkStart w:id="25" w:name="analysis-of-the-lawyers-role"/>
    <w:p>
      <w:pPr>
        <w:pStyle w:val="Heading2"/>
      </w:pPr>
      <w:r>
        <w:t xml:space="preserve">Analysis of the Lawyer's Role</w:t>
      </w:r>
    </w:p>
    <w:p>
      <w:pPr>
        <w:pStyle w:val="FirstParagraph"/>
      </w:pPr>
      <w:r>
        <w:t xml:space="preserve">This</w:t>
      </w:r>
      <w:r>
        <w:t xml:space="preserve"> </w:t>
      </w:r>
      <w:r>
        <w:rPr>
          <w:bCs/>
          <w:b/>
        </w:rPr>
        <w:t xml:space="preserve">Case Study</w:t>
      </w:r>
      <w:r>
        <w:t xml:space="preserve"> </w:t>
      </w:r>
      <w:r>
        <w:t xml:space="preserve">highlights that success in the Turkish real estate market is rarely just about capital; it is about legal navigation. The role of a</w:t>
      </w:r>
      <w:r>
        <w:t xml:space="preserve"> </w:t>
      </w:r>
      <w:r>
        <w:rPr>
          <w:bCs/>
          <w:b/>
        </w:rPr>
        <w:t xml:space="preserve">Lawyer</w:t>
      </w:r>
      <w:r>
        <w:t xml:space="preserve"> </w:t>
      </w:r>
      <w:r>
        <w:t xml:space="preserve">in</w:t>
      </w:r>
      <w:r>
        <w:t xml:space="preserve"> </w:t>
      </w:r>
      <w:r>
        <w:rPr>
          <w:bCs/>
          <w:b/>
        </w:rPr>
        <w:t xml:space="preserve">Turkey Istanbul</w:t>
      </w:r>
      <w:r>
        <w:t xml:space="preserve"> </w:t>
      </w:r>
      <w:r>
        <w:t xml:space="preserve">extends beyond courtroom litigation; it involves deep administrative engagement, understanding of local municipal politics, and cultural competence.</w:t>
      </w:r>
      <w:r>
        <w:t xml:space="preserve"> </w:t>
      </w:r>
      <w:r>
        <w:t xml:space="preserve">In Istanbul, where urban density creates constant tension between development needs and preservation laws, the ability to interpret regulations creatively while remaining strictly compliant is a valuable asset. Our firm demonstrated that by acting as strategic advisors rather than just transactional agents, we could turn potential deal-breakers into manageable procedural steps. The local knowledge of the nuances within Turkish administrative law was pivotal in clearing title defects and gaining municipal goodwill.</w:t>
      </w:r>
    </w:p>
    <w:bookmarkEnd w:id="25"/>
    <w:bookmarkStart w:id="26" w:name="conclusion"/>
    <w:p>
      <w:pPr>
        <w:pStyle w:val="Heading2"/>
      </w:pPr>
      <w:r>
        <w:t xml:space="preserve">Conclusion</w:t>
      </w:r>
    </w:p>
    <w:p>
      <w:pPr>
        <w:pStyle w:val="FirstParagraph"/>
      </w:pPr>
      <w:r>
        <w:t xml:space="preserve">For international investors considering entry into the vibrant market of</w:t>
      </w:r>
      <w:r>
        <w:t xml:space="preserve"> </w:t>
      </w:r>
      <w:r>
        <w:rPr>
          <w:bCs/>
          <w:b/>
        </w:rPr>
        <w:t xml:space="preserve">Turkey Istanbul</w:t>
      </w:r>
      <w:r>
        <w:t xml:space="preserve">, this</w:t>
      </w:r>
      <w:r>
        <w:t xml:space="preserve"> </w:t>
      </w:r>
      <w:r>
        <w:rPr>
          <w:bCs/>
          <w:b/>
        </w:rPr>
        <w:t xml:space="preserve">Case Study</w:t>
      </w:r>
      <w:r>
        <w:t xml:space="preserve"> </w:t>
      </w:r>
      <w:r>
        <w:t xml:space="preserve">serves as a testament to the importance of localized legal expertise. The complexities surrounding zoning, environmental protection, and title clarity in Istanbul are significant but not insurmountable. By engaging a dedicated and strategic</w:t>
      </w:r>
      <w:r>
        <w:t xml:space="preserve"> </w:t>
      </w:r>
      <w:r>
        <w:rPr>
          <w:bCs/>
          <w:b/>
        </w:rPr>
        <w:t xml:space="preserve">Lawyer</w:t>
      </w:r>
      <w:r>
        <w:t xml:space="preserve"> </w:t>
      </w:r>
      <w:r>
        <w:t xml:space="preserve">who understands the specific regulatory landscape of</w:t>
      </w:r>
      <w:r>
        <w:t xml:space="preserve"> </w:t>
      </w:r>
      <w:r>
        <w:rPr>
          <w:bCs/>
          <w:b/>
        </w:rPr>
        <w:t xml:space="preserve">Turkey Istanbul</w:t>
      </w:r>
      <w:r>
        <w:t xml:space="preserve">, businesses can mitigate risks, accelerate project timelines, and secure long-term value in one of the world’s most promising economic hubs. The synergy between international capital and local legal proficiency is the key to unlocking success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Istanbul</dc:title>
  <dc:creator/>
  <dc:language>en</dc:language>
  <cp:keywords/>
  <dcterms:created xsi:type="dcterms:W3CDTF">2026-07-29T04:27:19Z</dcterms:created>
  <dcterms:modified xsi:type="dcterms:W3CDTF">2026-07-29T04:27:19Z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