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for</w:t>
      </w:r>
      <w:r>
        <w:t xml:space="preserve"> </w:t>
      </w:r>
      <w:r>
        <w:t xml:space="preserve">Cross-Border</w:t>
      </w:r>
      <w:r>
        <w:t xml:space="preserve"> </w:t>
      </w:r>
      <w:r>
        <w:t xml:space="preserve">Commercial</w:t>
      </w:r>
      <w:r>
        <w:t xml:space="preserve"> </w:t>
      </w:r>
      <w:r>
        <w:t xml:space="preserve">Disputes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d0dd7ea71be1d25e001eb27cdeefe442312adba"/>
    <w:p>
      <w:pPr>
        <w:pStyle w:val="Heading1"/>
      </w:pPr>
      <w:r>
        <w:t xml:space="preserve">Case Study: Strategic Legal Representation for Cross-Border Commercial Disputes in United Arab Emirates Abu Dhabi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Abu Dhabi</w:t>
      </w:r>
      <w:r>
        <w:br/>
      </w:r>
      <w:r>
        <w:rPr>
          <w:bCs/>
          <w:b/>
        </w:rPr>
        <w:t xml:space="preserve">Firm Specialty:</w:t>
      </w:r>
      <w:r>
        <w:t xml:space="preserve"> </w:t>
      </w:r>
      <w:r>
        <w:t xml:space="preserve">Corporate Law, International Arbitration, and Commercial Litigation</w:t>
      </w:r>
    </w:p>
    <w:bookmarkStart w:id="20" w:name="executive-summary"/>
    <w:p>
      <w:pPr>
        <w:pStyle w:val="Heading2"/>
      </w:pPr>
      <w:r>
        <w:t xml:space="preserve">1. Executive Summary</w:t>
      </w:r>
    </w:p>
    <w:p>
      <w:pPr>
        <w:pStyle w:val="FirstParagraph"/>
      </w:pPr>
      <w:r>
        <w:t xml:space="preserve">In the rapidly evolving economic landscape of the modern era, legal counsel must navigate complex regulatory frameworks that bridge civil law traditions with international commercial standards. This Case Study examines a high-stakes commercial dispute involving an international technology firm and a local conglomerate operating within the United Arab Emirates Abu Dhabi jurisdiction. The primary objective of this document is to illustrate how specialized Lawyer services can mitigate risk, ensure regulatory compliance, and achieve favorable outcomes for clients in one of the Middle East’s most dynamic legal environments. By analyzing the strategic interventions employed by our legal team, this study highlights the critical importance of local expertise when operating within United Arab Emirates Abu Dhabi.</w:t>
      </w:r>
    </w:p>
    <w:bookmarkEnd w:id="20"/>
    <w:bookmarkStart w:id="21" w:name="client-background-and-challenge"/>
    <w:p>
      <w:pPr>
        <w:pStyle w:val="Heading2"/>
      </w:pPr>
      <w:r>
        <w:t xml:space="preserve">2. Client Background and Challenge</w:t>
      </w:r>
    </w:p>
    <w:p>
      <w:pPr>
        <w:pStyle w:val="FirstParagraph"/>
      </w:pPr>
      <w:r>
        <w:t xml:space="preserve">The client, a multinational software development corporation based in Europe (hereinafter referred to as "Client A"), sought to expand its operational footprint in the Gulf region. Client A entered into a joint venture agreement with a prominent local entity based in Abu Dhabi (hereinafter referred to as "Entity B"). The partnership aimed to develop smart city infrastructure solutions, specifically focusing on data management systems for government utilities.</w:t>
      </w:r>
    </w:p>
    <w:p>
      <w:pPr>
        <w:pStyle w:val="BodyText"/>
      </w:pPr>
      <w:r>
        <w:t xml:space="preserve">Approximately eighteen months after the inception of the project, tensions arose regarding intellectual property rights and revenue sharing models. Entity B alleged that Client A had utilized proprietary algorithms without proper licensing, while Client A claimed that Entity B failed to meet performance milestones required for further funding disbursements. The dispute escalated to a point where Entity B filed a complaint in the local courts, seeking an injunction to halt operations and demanding substantial damages.</w:t>
      </w:r>
    </w:p>
    <w:p>
      <w:pPr>
        <w:pStyle w:val="BodyText"/>
      </w:pPr>
      <w:r>
        <w:t xml:space="preserve">The challenge was twofold. First, the legal framework governing commercial disputes in United Arab Emirates Abu Dhabi involves specific provisions under Federal Laws that differ significantly from European civil codes. Second, the reputational stakes were high; a prolonged public litigation process could damage Client A’s standing with other potential government partners in the region.</w:t>
      </w:r>
    </w:p>
    <w:bookmarkEnd w:id="21"/>
    <w:bookmarkStart w:id="22" w:name="X0b00d795058c95061ecf87d26e4d98b8d7d9afc"/>
    <w:p>
      <w:pPr>
        <w:pStyle w:val="Heading2"/>
      </w:pPr>
      <w:r>
        <w:t xml:space="preserve">3. The Legal Landscape of United Arab Emirates Abu Dhabi</w:t>
      </w:r>
    </w:p>
    <w:p>
      <w:pPr>
        <w:pStyle w:val="FirstParagraph"/>
      </w:pPr>
      <w:r>
        <w:t xml:space="preserve">To understand the complexity of this matter, one must appreciate the unique judicial structure of United Arab Emirates Abu Dhabi. Unlike common law jurisdictions, Abu Dhabi operates within a civil law system derived from Egyptian and French legal traditions, heavily influenced by Sharia principles in personal status laws but largely secularized in commercial matters through recent federal reforms.</w:t>
      </w:r>
    </w:p>
    <w:p>
      <w:pPr>
        <w:pStyle w:val="BodyText"/>
      </w:pPr>
      <w:r>
        <w:t xml:space="preserve">Furthermore, United Arab Emirates Abu Dhabi hosts distinct judicial zones. While the mainland courts follow federal procedures, specific free zones such as ADGM (Abu Dhabi Global Market) operate under a common law framework derived from English law. Our analysis of the contract revealed that while it was signed in Abu Dhabi, the governing law clause contained ambiguities regarding which judicial authority had jurisdiction—local civil courts or international arbitration bodies. This ambiguity created a procedural bottleneck that required immediate and precise Lawyer intervention.</w:t>
      </w:r>
    </w:p>
    <w:bookmarkEnd w:id="22"/>
    <w:bookmarkStart w:id="26" w:name="strategic-intervention-by-legal-counsel"/>
    <w:p>
      <w:pPr>
        <w:pStyle w:val="Heading2"/>
      </w:pPr>
      <w:r>
        <w:t xml:space="preserve">4. Strategic Intervention by Legal Counsel</w:t>
      </w:r>
    </w:p>
    <w:p>
      <w:pPr>
        <w:pStyle w:val="FirstParagraph"/>
      </w:pPr>
      <w:r>
        <w:t xml:space="preserve">Upon engaging our services, the assigned Lawyer conducted a comprehensive forensic audit of the joint venture agreement and all subsequent addendums. The initial assessment revealed that the contract lacked clear dispute resolution mechanisms favoring international arbitration, which is often preferred by foreign entities for neutrality. Recognizing this vulnerability, the Lawyer team formulated a multi-pronged strategy.</w:t>
      </w:r>
    </w:p>
    <w:bookmarkStart w:id="23" w:name="a.-jurisdictional-defense"/>
    <w:p>
      <w:pPr>
        <w:pStyle w:val="Heading3"/>
      </w:pPr>
      <w:r>
        <w:t xml:space="preserve">A. Jurisdictional Defense</w:t>
      </w:r>
    </w:p>
    <w:p>
      <w:pPr>
        <w:pStyle w:val="FirstParagraph"/>
      </w:pPr>
      <w:r>
        <w:t xml:space="preserve">The primary tactical move was to challenge the jurisdiction of the local civil courts based on international treaties and commercial norms regarding arbitration clauses inherent in cross-border contracts. The Lawyer filed a preliminary objection, arguing that the intent of the parties, evidenced by correspondence and industry standards, pointed toward neutral arbitration rather than local litigation.</w:t>
      </w:r>
    </w:p>
    <w:bookmarkEnd w:id="23"/>
    <w:bookmarkStart w:id="24" w:name="b.-negotiation-and-mediation"/>
    <w:p>
      <w:pPr>
        <w:pStyle w:val="Heading3"/>
      </w:pPr>
      <w:r>
        <w:t xml:space="preserve">B. Negotiation and Mediation</w:t>
      </w:r>
    </w:p>
    <w:p>
      <w:pPr>
        <w:pStyle w:val="FirstParagraph"/>
      </w:pPr>
      <w:r>
        <w:t xml:space="preserve">While preparing for litigation, the Lawyer facilitated confidential mediation sessions. Leveraging deep knowledge of local business etiquette and cultural nuances in United Arab Emirates Abu Dhabi, the legal counsel positioned Client A not as an adversary, but as a partner seeking alignment with national strategic goals. This approach softened Entity B’s stance, opening channels for dialogue.</w:t>
      </w:r>
    </w:p>
    <w:bookmarkEnd w:id="24"/>
    <w:bookmarkStart w:id="25" w:name="c.-regulatory-compliance-audit"/>
    <w:p>
      <w:pPr>
        <w:pStyle w:val="Heading3"/>
      </w:pPr>
      <w:r>
        <w:t xml:space="preserve">C. Regulatory Compliance Audit</w:t>
      </w:r>
    </w:p>
    <w:p>
      <w:pPr>
        <w:pStyle w:val="FirstParagraph"/>
      </w:pPr>
      <w:r>
        <w:t xml:space="preserve">The Lawyer team simultaneously conducted a full compliance review of Client A’s data handling practices against the new Federal Decree-Law on Data Protection. By proactively addressing potential regulatory violations, the legal counsel removed Entity B’s strongest leverage point—the allegation of illegal data usage.</w:t>
      </w:r>
    </w:p>
    <w:bookmarkEnd w:id="25"/>
    <w:bookmarkEnd w:id="26"/>
    <w:bookmarkStart w:id="27" w:name="outcome-and-results"/>
    <w:p>
      <w:pPr>
        <w:pStyle w:val="Heading2"/>
      </w:pPr>
      <w:r>
        <w:t xml:space="preserve">5. Outcome and Results</w:t>
      </w:r>
    </w:p>
    <w:p>
      <w:pPr>
        <w:pStyle w:val="FirstParagraph"/>
      </w:pPr>
      <w:r>
        <w:t xml:space="preserve">The combined effect of robust legal defense and strategic negotiation resulted in a settlement agreement reached within six months, significantly faster than the typical timeline for commercial litigation in United Arab Emirates Abu Dhabi. The key outcomes included:</w:t>
      </w:r>
    </w:p>
    <w:p>
      <w:pPr>
        <w:numPr>
          <w:ilvl w:val="0"/>
          <w:numId w:val="1001"/>
        </w:numPr>
        <w:pStyle w:val="Compact"/>
      </w:pPr>
      <w:r>
        <w:rPr>
          <w:bCs/>
          <w:b/>
        </w:rPr>
        <w:t xml:space="preserve">Motion Dismissal:</w:t>
      </w:r>
      <w:r>
        <w:t xml:space="preserve"> </w:t>
      </w:r>
      <w:r>
        <w:t xml:space="preserve">The local court agreed to stay the proceedings pending arbitration, effectively neutralizing the immediate threat of an injunction.</w:t>
      </w:r>
    </w:p>
    <w:p>
      <w:pPr>
        <w:numPr>
          <w:ilvl w:val="0"/>
          <w:numId w:val="1001"/>
        </w:numPr>
        <w:pStyle w:val="Compact"/>
      </w:pPr>
      <w:r>
        <w:rPr>
          <w:bCs/>
          <w:b/>
        </w:rPr>
        <w:t xml:space="preserve">Favorable Settlement:</w:t>
      </w:r>
      <w:r>
        <w:t xml:space="preserve"> </w:t>
      </w:r>
      <w:r>
        <w:t xml:space="preserve">Entity B withdrew its damage claims in exchange for a revised revenue-sharing model and a long-term service contract for Client A’s maintenance team.</w:t>
      </w:r>
    </w:p>
    <w:p>
      <w:pPr>
        <w:numPr>
          <w:ilvl w:val="0"/>
          <w:numId w:val="1001"/>
        </w:numPr>
        <w:pStyle w:val="Compact"/>
      </w:pPr>
      <w:r>
        <w:rPr>
          <w:bCs/>
          <w:b/>
        </w:rPr>
        <w:t xml:space="preserve">Risk Mitigation:</w:t>
      </w:r>
      <w:r>
        <w:t xml:space="preserve"> </w:t>
      </w:r>
      <w:r>
        <w:t xml:space="preserve">Client A secured clarity on intellectual property ownership and implemented new compliance protocols that satisfied local regulatory bodies.</w:t>
      </w:r>
    </w:p>
    <w:p>
      <w:pPr>
        <w:pStyle w:val="FirstParagraph"/>
      </w:pPr>
      <w:r>
        <w:t xml:space="preserve">The total cost to the client was reduced by approximately forty percent compared to the projected expenses of a full trial in United Arab Emirates Abu Dhabi courts, demonstrating the financial efficacy of expert Lawyer representation.</w:t>
      </w:r>
    </w:p>
    <w:bookmarkEnd w:id="27"/>
    <w:bookmarkStart w:id="28" w:name="lessons-learned-and-best-practices"/>
    <w:p>
      <w:pPr>
        <w:pStyle w:val="Heading2"/>
      </w:pPr>
      <w:r>
        <w:t xml:space="preserve">6. Lessons Learned and Best Practices</w:t>
      </w:r>
    </w:p>
    <w:p>
      <w:pPr>
        <w:pStyle w:val="FirstParagraph"/>
      </w:pPr>
      <w:r>
        <w:t xml:space="preserve">This Case Study underscores several critical lessons for businesses operating in United Arab Emirates Abu Dhabi. First, the importance of precise contract drafting cannot be overstated. Ambiguity in governing law clauses can lead to protracted jurisdictional battles.</w:t>
      </w:r>
    </w:p>
    <w:p>
      <w:pPr>
        <w:pStyle w:val="BodyText"/>
      </w:pPr>
      <w:r>
        <w:t xml:space="preserve">Second, cultural intelligence is a legal asset. In United Arab Emirates Abu Dhabi, relationships and reputation hold significant weight in commercial disputes. A Lawyer who understands not just the letter of the law but also the spirit of local business practices can navigate tensions more effectively than one relying solely on adversarial tactics.</w:t>
      </w:r>
    </w:p>
    <w:p>
      <w:pPr>
        <w:pStyle w:val="BodyText"/>
      </w:pPr>
      <w:r>
        <w:t xml:space="preserve">Finally, proactive compliance is superior to reactive defense. By aligning operations with United Arab Emirates Abu Dhabi’s evolving data and commercial regulations, businesses can protect themselves from regulatory risks that often accompany international expansions.</w:t>
      </w:r>
    </w:p>
    <w:bookmarkEnd w:id="28"/>
    <w:bookmarkStart w:id="29" w:name="conclusion"/>
    <w:p>
      <w:pPr>
        <w:pStyle w:val="Heading2"/>
      </w:pPr>
      <w:r>
        <w:t xml:space="preserve">7. Conclusion</w:t>
      </w:r>
    </w:p>
    <w:p>
      <w:pPr>
        <w:pStyle w:val="FirstParagraph"/>
      </w:pPr>
      <w:r>
        <w:t xml:space="preserve">The successful resolution of this complex commercial dispute highlights the vital role of specialized legal counsel in the UAE market. For international entities seeking to establish a presence in United Arab Emirates Abu Dhabi, partnering with a Lawyer who possesses deep local expertise is not merely an option but a strategic necessity. The ability to navigate the intricacies of United Arab Emirates Abu Dhabi’s judicial system, combined with an understanding of global commercial standards, ensures that clients can focus on growth while their legal interests remain securely protected.</w:t>
      </w:r>
    </w:p>
    <w:p>
      <w:pPr>
        <w:pStyle w:val="BodyText"/>
      </w:pPr>
      <w:r>
        <w:rPr>
          <w:iCs/>
          <w:i/>
        </w:rPr>
        <w:t xml:space="preserve">Note: This Case Study is for informational purposes only and does not constitute legal advice. Laws in United Arab Emirates Abu Dhabi are subject to change. Consult a qualified Lawyer for specific legal concerns.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for Cross-Border Commercial Disputes in United Arab Emirates Abu Dhabi</dc:title>
  <dc:creator/>
  <cp:keywords/>
  <dcterms:created xsi:type="dcterms:W3CDTF">2026-07-29T18:03:27Z</dcterms:created>
  <dcterms:modified xsi:type="dcterms:W3CDTF">2026-07-29T18:03:27Z</dcterms:modified>
</cp:coreProperties>
</file>

<file path=docProps/custom.xml><?xml version="1.0" encoding="utf-8"?>
<Properties xmlns="http://schemas.openxmlformats.org/officeDocument/2006/custom-properties" xmlns:vt="http://schemas.openxmlformats.org/officeDocument/2006/docPropsVTypes"/>
</file>