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Legal</w:t>
      </w:r>
      <w:r>
        <w:t xml:space="preserve"> </w:t>
      </w:r>
      <w:r>
        <w:t xml:space="preserve">Representation</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9" w:name="X2891db291ad78cd2d57a8a95549b04e8e22140c"/>
    <w:p>
      <w:pPr>
        <w:pStyle w:val="Heading1"/>
      </w:pPr>
      <w:r>
        <w:t xml:space="preserve">The Complexities of Cross-Border Commercial Litigation: A Case Study on Legal Representation in the United Arab Emirates Dubai</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United Arab Emirates, specifically the Emirate of Dubai</w:t>
      </w:r>
      <w:r>
        <w:br/>
      </w:r>
      <w:r>
        <w:rPr>
          <w:bCs/>
          <w:b/>
        </w:rPr>
        <w:t xml:space="preserve">Type of Case:</w:t>
      </w:r>
      <w:r>
        <w:t xml:space="preserve"> </w:t>
      </w:r>
      <w:r>
        <w:t xml:space="preserve">International Commercial Dispute &amp; Contractual Breach</w:t>
      </w:r>
      <w:r>
        <w:br/>
      </w:r>
      <w:r>
        <w:rPr>
          <w:iCs/>
          <w:i/>
          <w:vertAlign w:val="subscript"/>
        </w:rPr>
        <w:t xml:space="preserve">Note: This document serves as a hypothetical educational case study to illustrate the nuanced role of a Lawyer within the specific legal framework of Dubai.</w:t>
      </w:r>
    </w:p>
    <w:bookmarkStart w:id="20" w:name="executive-summary"/>
    <w:p>
      <w:pPr>
        <w:pStyle w:val="Heading2"/>
      </w:pPr>
      <w:r>
        <w:t xml:space="preserve">1. Executive Summary</w:t>
      </w:r>
    </w:p>
    <w:p>
      <w:pPr>
        <w:pStyle w:val="FirstParagraph"/>
      </w:pPr>
      <w:r>
        <w:t xml:space="preserve">In recent years, Dubai has established itself as a global hub for business, tourism, and real estate investment. However, this rapid expansion has brought with it a complex web of legal challenges that require specialized expertise. This Case Study examines the intricate process of navigating commercial litigation within the</w:t>
      </w:r>
      <w:r>
        <w:t xml:space="preserve"> </w:t>
      </w:r>
      <w:r>
        <w:rPr>
          <w:bCs/>
          <w:b/>
        </w:rPr>
        <w:t xml:space="preserve">United Arab Emirates</w:t>
      </w:r>
      <w:r>
        <w:t xml:space="preserve">, focusing heavily on the strategic interventions required by a skilled</w:t>
      </w:r>
      <w:r>
        <w:t xml:space="preserve"> </w:t>
      </w:r>
      <w:r>
        <w:rPr>
          <w:bCs/>
          <w:b/>
        </w:rPr>
        <w:t xml:space="preserve">Lawyer</w:t>
      </w:r>
      <w:r>
        <w:t xml:space="preserve">. The primary objective is to demonstrate how local legal knowledge, combined with international best practices, can resolve high-stakes disputes in</w:t>
      </w:r>
      <w:r>
        <w:t xml:space="preserve"> </w:t>
      </w:r>
      <w:r>
        <w:rPr>
          <w:bCs/>
          <w:b/>
        </w:rPr>
        <w:t xml:space="preserve">Dubai</w:t>
      </w:r>
      <w:r>
        <w:t xml:space="preserve">.</w:t>
      </w:r>
    </w:p>
    <w:bookmarkEnd w:id="20"/>
    <w:bookmarkStart w:id="21" w:name="background-and-context"/>
    <w:p>
      <w:pPr>
        <w:pStyle w:val="Heading2"/>
      </w:pPr>
      <w:r>
        <w:t xml:space="preserve">2. Background and Context</w:t>
      </w:r>
    </w:p>
    <w:p>
      <w:pPr>
        <w:pStyle w:val="FirstParagraph"/>
      </w:pPr>
      <w:r>
        <w:t xml:space="preserve">The scenario involves "Apex Global Solutions," a multinational technology firm headquartered in Europe, and "Dubai Horizon Holdings," a local real estate development company based in the Emirate of</w:t>
      </w:r>
      <w:r>
        <w:t xml:space="preserve"> </w:t>
      </w:r>
      <w:r>
        <w:rPr>
          <w:bCs/>
          <w:b/>
        </w:rPr>
        <w:t xml:space="preserve">Dubai</w:t>
      </w:r>
      <w:r>
        <w:t xml:space="preserve">. The two entities entered into a joint venture agreement aimed at developing smart-city infrastructure within Dubai’s innovative free zones. The contract was drafted primarily in English but included clauses subject to the laws of the</w:t>
      </w:r>
      <w:r>
        <w:t xml:space="preserve"> </w:t>
      </w:r>
      <w:r>
        <w:rPr>
          <w:bCs/>
          <w:b/>
        </w:rPr>
        <w:t xml:space="preserve">United Arab Emirates</w:t>
      </w:r>
      <w:r>
        <w:t xml:space="preserve">.</w:t>
      </w:r>
    </w:p>
    <w:p>
      <w:pPr>
        <w:pStyle w:val="BodyText"/>
      </w:pPr>
      <w:r>
        <w:t xml:space="preserve">Three years into the project, disputes arose regarding intellectual property rights and payment delays. Apex Global Solutions initiated arbitration proceedings, alleging breach of contract and misappropriation of proprietary technology. Conversely, Dubai Horizon Holdings counter-claimed for unpaid milestones due to alleged scope creep by the European firm. This standoff created a legal impasse that threatened not only the financial viability of both parties but also their reputations within the</w:t>
      </w:r>
      <w:r>
        <w:t xml:space="preserve"> </w:t>
      </w:r>
      <w:r>
        <w:rPr>
          <w:bCs/>
          <w:b/>
        </w:rPr>
        <w:t xml:space="preserve">United Arab Emirates</w:t>
      </w:r>
      <w:r>
        <w:t xml:space="preserve"> </w:t>
      </w:r>
      <w:r>
        <w:t xml:space="preserve">market.</w:t>
      </w:r>
    </w:p>
    <w:bookmarkEnd w:id="21"/>
    <w:bookmarkStart w:id="24" w:name="X602f1a802767f0f3b44d299167df0467cdde7e1"/>
    <w:p>
      <w:pPr>
        <w:pStyle w:val="Heading2"/>
      </w:pPr>
      <w:r>
        <w:t xml:space="preserve">3. The Role of the Lawyer in Dubai’s Legal Landscape</w:t>
      </w:r>
    </w:p>
    <w:p>
      <w:pPr>
        <w:pStyle w:val="FirstParagraph"/>
      </w:pPr>
      <w:r>
        <w:t xml:space="preserve">To navigate this crisis, both parties retained independent counsel. However, for the purposes of this Case Study, we focus on the strategies employed by Mr. Ahmed Al-Fayed, a prominent</w:t>
      </w:r>
      <w:r>
        <w:t xml:space="preserve"> </w:t>
      </w:r>
      <w:r>
        <w:rPr>
          <w:bCs/>
          <w:b/>
        </w:rPr>
        <w:t xml:space="preserve">Lawyer</w:t>
      </w:r>
      <w:r>
        <w:t xml:space="preserve"> </w:t>
      </w:r>
      <w:r>
        <w:t xml:space="preserve">specializing in international commercial law within</w:t>
      </w:r>
      <w:r>
        <w:t xml:space="preserve"> </w:t>
      </w:r>
      <w:r>
        <w:rPr>
          <w:bCs/>
          <w:b/>
        </w:rPr>
        <w:t xml:space="preserve">Dubai</w:t>
      </w:r>
      <w:r>
        <w:t xml:space="preserve">. The legal environment in</w:t>
      </w:r>
    </w:p>
    <w:p>
      <w:pPr>
        <w:pStyle w:val="BodyText"/>
      </w:pPr>
      <w:r>
        <w:t xml:space="preserve">Dubai is unique because it operates within a civil law system influenced by Islamic Sharia principles, yet it also maintains distinct legal frameworks within its various Free Zones.</w:t>
      </w:r>
    </w:p>
    <w:bookmarkStart w:id="22" w:name="navigating-jurisdictional-nuances"/>
    <w:p>
      <w:pPr>
        <w:pStyle w:val="Heading3"/>
      </w:pPr>
      <w:r>
        <w:t xml:space="preserve">3.1 Navigating Jurisdictional Nuances</w:t>
      </w:r>
    </w:p>
    <w:p>
      <w:pPr>
        <w:pStyle w:val="FirstParagraph"/>
      </w:pPr>
      <w:r>
        <w:t xml:space="preserve">A critical initial task for the</w:t>
      </w:r>
      <w:r>
        <w:t xml:space="preserve"> </w:t>
      </w:r>
      <w:r>
        <w:rPr>
          <w:bCs/>
          <w:b/>
        </w:rPr>
        <w:t xml:space="preserve">Lawyer</w:t>
      </w:r>
      <w:r>
        <w:t xml:space="preserve"> </w:t>
      </w:r>
      <w:r>
        <w:t xml:space="preserve">was to determine the correct jurisdiction. While general courts in the</w:t>
      </w:r>
      <w:r>
        <w:t xml:space="preserve"> </w:t>
      </w:r>
      <w:r>
        <w:rPr>
          <w:bCs/>
          <w:b/>
        </w:rPr>
        <w:t xml:space="preserve">United Arab Emirates</w:t>
      </w:r>
      <w:r>
        <w:t xml:space="preserve">sapply federal civil codes, many international businesses operate within Free Zones which may have their own dispute resolution centers, such as the Dubai International Financial Centre (DIFC) Courts. Mr. Al-Fayed demonstrated that while the contract cited UAE federal law, the operational entity was registered in a free zone with common-law influences. This distinction was pivotal for a</w:t>
      </w:r>
      <w:r>
        <w:t xml:space="preserve"> </w:t>
      </w:r>
      <w:r>
        <w:rPr>
          <w:bCs/>
          <w:b/>
        </w:rPr>
        <w:t xml:space="preserve">Lawyer</w:t>
      </w:r>
      <w:r>
        <w:t xml:space="preserve">seeking to leverage precedent-based rulings rather than purely statutory interpretations.</w:t>
      </w:r>
    </w:p>
    <w:bookmarkEnd w:id="22"/>
    <w:bookmarkStart w:id="23" w:name="bridging-cultural-and-linguistic-gaps"/>
    <w:p>
      <w:pPr>
        <w:pStyle w:val="Heading3"/>
      </w:pPr>
      <w:r>
        <w:t xml:space="preserve">2.2 Bridging Cultural and Linguistic Gaps</w:t>
      </w:r>
    </w:p>
    <w:p>
      <w:pPr>
        <w:pStyle w:val="FirstParagraph"/>
      </w:pPr>
      <w:r>
        <w:t xml:space="preserve">In any cross-border dispute in the</w:t>
      </w:r>
      <w:r>
        <w:t xml:space="preserve"> </w:t>
      </w:r>
      <w:r>
        <w:rPr>
          <w:bCs/>
          <w:b/>
        </w:rPr>
        <w:t xml:space="preserve">United Arab Emirates Dubai</w:t>
      </w:r>
      <w:r>
        <w:t xml:space="preserve">, language is a significant barrier. Official proceedings in mainland courts often require Arabic documentation. The</w:t>
      </w:r>
      <w:r>
        <w:t xml:space="preserve"> </w:t>
      </w:r>
      <w:r>
        <w:rPr>
          <w:bCs/>
          <w:b/>
        </w:rPr>
        <w:t xml:space="preserve">Lawyer</w:t>
      </w:r>
      <w:r>
        <w:t xml:space="preserve">served as not just a legal advocate but also as a cultural translator, ensuring that the nuances of Western commercial expectations were accurately conveyed to local judges and arbitrators, who prioritize good faith and amicable settlements (Sulh) over adversarial combat.</w:t>
      </w:r>
    </w:p>
    <w:bookmarkEnd w:id="23"/>
    <w:bookmarkEnd w:id="24"/>
    <w:bookmarkStart w:id="25" w:name="X2c14ce8fbbc35cd791c7584915f4bcc0dc2f9c4"/>
    <w:p>
      <w:pPr>
        <w:pStyle w:val="Heading2"/>
      </w:pPr>
      <w:r>
        <w:t xml:space="preserve">4. Strategic Interventions and Legal Arguments</w:t>
      </w:r>
    </w:p>
    <w:p>
      <w:pPr>
        <w:pStyle w:val="FirstParagraph"/>
      </w:pPr>
      <w:r>
        <w:t xml:space="preserve">The core of this Case Study lies in the tactical maneuvers executed by the legal team. Mr. Al-Fayed implemented a multi-faceted strategy that addressed both procedural and substantive issues.</w:t>
      </w:r>
    </w:p>
    <w:p>
      <w:pPr>
        <w:numPr>
          <w:ilvl w:val="0"/>
          <w:numId w:val="1001"/>
        </w:numPr>
        <w:pStyle w:val="Compact"/>
      </w:pPr>
      <w:r>
        <w:rPr>
          <w:bCs/>
          <w:b/>
        </w:rPr>
        <w:t xml:space="preserve">Jurisdictional Challenge:</w:t>
      </w:r>
      <w:r>
        <w:t xml:space="preserve"> </w:t>
      </w:r>
      <w:r>
        <w:t xml:space="preserve">The first move was a preliminary objection regarding jurisdiction, arguing that due to the international nature of the parties, the dispute should be heard in an English-language court within a Free Zone rather than a local civil court. This required extensive research into UAE Federal Decree-Laws regarding jurisdiction.</w:t>
      </w:r>
    </w:p>
    <w:p>
      <w:pPr>
        <w:numPr>
          <w:ilvl w:val="0"/>
          <w:numId w:val="1001"/>
        </w:numPr>
        <w:pStyle w:val="Compact"/>
      </w:pPr>
      <w:r>
        <w:rPr>
          <w:bCs/>
          <w:b/>
        </w:rPr>
        <w:t xml:space="preserve">Arbitration Enforcement:</w:t>
      </w:r>
      <w:r>
        <w:t xml:space="preserve"> </w:t>
      </w:r>
      <w:r>
        <w:t xml:space="preserve">The</w:t>
      </w:r>
    </w:p>
    <w:p>
      <w:pPr>
        <w:numPr>
          <w:ilvl w:val="0"/>
          <w:numId w:val="1000"/>
        </w:numPr>
        <w:pStyle w:val="Compact"/>
      </w:pPr>
      <w:r>
        <w:t xml:space="preserve">Lawyerfocused on enforcing an arbitration clause embedded in the original contract. Under the New York Convention, which the</w:t>
      </w:r>
    </w:p>
    <w:p>
      <w:pPr>
        <w:numPr>
          <w:ilvl w:val="0"/>
          <w:numId w:val="1000"/>
        </w:numPr>
        <w:pStyle w:val="Compact"/>
      </w:pPr>
      <w:r>
        <w:t xml:space="preserve">United Arab Emirates</w:t>
      </w:r>
      <w:r>
        <w:t xml:space="preserve">s adheres to, arbitral awards are enforceable. However, local courts often scrutinize these awards strictly.</w:t>
      </w:r>
    </w:p>
    <w:p>
      <w:pPr>
        <w:numPr>
          <w:ilvl w:val="0"/>
          <w:numId w:val="1001"/>
        </w:numPr>
        <w:pStyle w:val="Compact"/>
      </w:pPr>
      <w:r>
        <w:rPr>
          <w:bCs/>
          <w:b/>
        </w:rPr>
        <w:t xml:space="preserve">Negotiation Leverage:</w:t>
      </w:r>
      <w:r>
        <w:t xml:space="preserve"> </w:t>
      </w:r>
      <w:r>
        <w:t xml:space="preserve">Utilizing the threat of prolonged litigation in</w:t>
      </w:r>
    </w:p>
    <w:p>
      <w:pPr>
        <w:numPr>
          <w:ilvl w:val="0"/>
          <w:numId w:val="1000"/>
        </w:numPr>
        <w:pStyle w:val="Compact"/>
      </w:pPr>
      <w:r>
        <w:t xml:space="preserve">Dubai, which can stall projects for years, the</w:t>
      </w:r>
    </w:p>
    <w:p>
      <w:pPr>
        <w:numPr>
          <w:ilvl w:val="0"/>
          <w:numId w:val="1000"/>
        </w:numPr>
        <w:pStyle w:val="Compact"/>
      </w:pPr>
      <w:r>
        <w:t xml:space="preserve">Lawyer</w:t>
      </w:r>
      <w:r>
        <w:t xml:space="preserve">pushed for mediation. In UAE culture, preserving business relationships is often valued alongside strict legal adherence.</w:t>
      </w:r>
    </w:p>
    <w:bookmarkEnd w:id="25"/>
    <w:bookmarkStart w:id="26" w:name="the-resolution-process"/>
    <w:p>
      <w:pPr>
        <w:pStyle w:val="Heading2"/>
      </w:pPr>
      <w:r>
        <w:t xml:space="preserve">5. The Resolution Process</w:t>
      </w:r>
    </w:p>
    <w:p>
      <w:pPr>
        <w:pStyle w:val="FirstParagraph"/>
      </w:pPr>
      <w:r>
        <w:t xml:space="preserve">The resolution of this dispute highlights the pragmatic approach of modern legal practice in Dubai. After six months of intense back-and-forth between the legal teams, a mediated settlement was reached. The</w:t>
      </w:r>
      <w:r>
        <w:t xml:space="preserve"> </w:t>
      </w:r>
      <w:r>
        <w:rPr>
          <w:bCs/>
          <w:b/>
        </w:rPr>
        <w:t xml:space="preserve">Lawyer</w:t>
      </w:r>
      <w:r>
        <w:t xml:space="preserve">splayed a crucial role in drafting the settlement agreement, ensuring it complied with both UAE labor laws regarding employee transfers and international intellectual property standards.</w:t>
      </w:r>
    </w:p>
    <w:p>
      <w:pPr>
        <w:pStyle w:val="BodyText"/>
      </w:pPr>
      <w:r>
        <w:t xml:space="preserve">The outcome involved Dubai Horizon Holdings agreeing to release payment for completed milestones, while Apex Global Solutions provided additional technical support and waived certain penalty clauses. The agreement was ratified by the relevant court in</w:t>
      </w:r>
      <w:r>
        <w:t xml:space="preserve"> </w:t>
      </w:r>
      <w:r>
        <w:rPr>
          <w:bCs/>
          <w:b/>
        </w:rPr>
        <w:t xml:space="preserve">Dubai</w:t>
      </w:r>
      <w:r>
        <w:t xml:space="preserve">, giving it the force of law within the</w:t>
      </w:r>
    </w:p>
    <w:p>
      <w:pPr>
        <w:pStyle w:val="BodyText"/>
      </w:pPr>
      <w:r>
        <w:t xml:space="preserve">United Arab Emirates. This resolution prevented further reputational damage and allowed both companies to continue their operations without prolonged legal entanglements.</w:t>
      </w:r>
    </w:p>
    <w:bookmarkEnd w:id="26"/>
    <w:bookmarkStart w:id="27" w:name="key-lessons-for-stakeholders-in-dubai"/>
    <w:p>
      <w:pPr>
        <w:pStyle w:val="Heading2"/>
      </w:pPr>
      <w:r>
        <w:t xml:space="preserve">6. Key Lessons for Stakeholders in Dubai</w:t>
      </w:r>
    </w:p>
    <w:p>
      <w:pPr>
        <w:pStyle w:val="FirstParagraph"/>
      </w:pPr>
      <w:r>
        <w:t xml:space="preserve">This Case Study offers several vital takeaways for businesses operating in the</w:t>
      </w:r>
      <w:r>
        <w:t xml:space="preserve"> </w:t>
      </w:r>
      <w:r>
        <w:rPr>
          <w:bCs/>
          <w:b/>
        </w:rPr>
        <w:t xml:space="preserve">United Arab Emirates Dubai</w:t>
      </w:r>
      <w:r>
        <w:t xml:space="preserve">:</w:t>
      </w:r>
    </w:p>
    <w:p>
      <w:pPr>
        <w:numPr>
          <w:ilvl w:val="0"/>
          <w:numId w:val="1002"/>
        </w:numPr>
        <w:pStyle w:val="Compact"/>
      </w:pPr>
      <w:r>
        <w:rPr>
          <w:bCs/>
          <w:b/>
        </w:rPr>
        <w:t xml:space="preserve">The Importance of Local Counsel:</w:t>
      </w:r>
      <w:r>
        <w:t xml:space="preserve"> </w:t>
      </w:r>
      <w:r>
        <w:t xml:space="preserve">International firms cannot rely solely on their home-country legal advice. A qualified local</w:t>
      </w:r>
    </w:p>
    <w:p>
      <w:pPr>
        <w:numPr>
          <w:ilvl w:val="0"/>
          <w:numId w:val="1000"/>
        </w:numPr>
        <w:pStyle w:val="Compact"/>
      </w:pPr>
      <w:r>
        <w:t xml:space="preserve">Lawyer</w:t>
      </w:r>
      <w:r>
        <w:t xml:space="preserve">is indispensable for understanding the interplay between federal UAE law and local Dubai regulations.</w:t>
      </w:r>
    </w:p>
    <w:p>
      <w:pPr>
        <w:numPr>
          <w:ilvl w:val="0"/>
          <w:numId w:val="1002"/>
        </w:numPr>
        <w:pStyle w:val="Compact"/>
      </w:pPr>
      <w:r>
        <w:rPr>
          <w:bCs/>
          <w:b/>
        </w:rPr>
        <w:t xml:space="preserve">Cultural Competence:</w:t>
      </w:r>
      <w:r>
        <w:t xml:space="preserve"> </w:t>
      </w:r>
      <w:r>
        <w:t xml:space="preserve">Success in Dubai requires more than just legal knowledge; it demands an appreciation for the regional business culture. A good</w:t>
      </w:r>
    </w:p>
    <w:p>
      <w:pPr>
        <w:numPr>
          <w:ilvl w:val="0"/>
          <w:numId w:val="1000"/>
        </w:numPr>
        <w:pStyle w:val="Compact"/>
      </w:pPr>
      <w:r>
        <w:t xml:space="preserve">Lawyer</w:t>
      </w:r>
      <w:r>
        <w:t xml:space="preserve">understands that negotiation is often a continuous process rather than a single event.</w:t>
      </w:r>
    </w:p>
    <w:p>
      <w:pPr>
        <w:numPr>
          <w:ilvl w:val="0"/>
          <w:numId w:val="1002"/>
        </w:numPr>
        <w:pStyle w:val="Compact"/>
      </w:pPr>
      <w:r>
        <w:rPr>
          <w:bCs/>
          <w:b/>
        </w:rPr>
        <w:t xml:space="preserve">Drafting Precision:</w:t>
      </w:r>
      <w:r>
        <w:t xml:space="preserve"> </w:t>
      </w:r>
      <w:r>
        <w:t xml:space="preserve">Ambiguity in contracts can be fatal in UAE courts. The Case Study demonstrates that precise drafting, reviewed by a</w:t>
      </w:r>
    </w:p>
    <w:p>
      <w:pPr>
        <w:numPr>
          <w:ilvl w:val="0"/>
          <w:numId w:val="1000"/>
        </w:numPr>
        <w:pStyle w:val="Compact"/>
      </w:pPr>
      <w:r>
        <w:t xml:space="preserve">Lawyer</w:t>
      </w:r>
      <w:r>
        <w:t xml:space="preserve">familiar with local judicial trends, is the best insurance against future litigation.</w:t>
      </w:r>
    </w:p>
    <w:p>
      <w:pPr>
        <w:numPr>
          <w:ilvl w:val="0"/>
          <w:numId w:val="1002"/>
        </w:numPr>
        <w:pStyle w:val="Compact"/>
      </w:pPr>
      <w:r>
        <w:rPr>
          <w:bCs/>
          <w:b/>
        </w:rPr>
        <w:t xml:space="preserve">Jurisdictional Awareness:</w:t>
      </w:r>
      <w:r>
        <w:t xml:space="preserve"> </w:t>
      </w:r>
      <w:r>
        <w:t xml:space="preserve">The distinction between onshore Dubai and Free Zones is critical. A misstep in choosing the forum can lead to procedural delays that a savvy</w:t>
      </w:r>
    </w:p>
    <w:p>
      <w:pPr>
        <w:numPr>
          <w:ilvl w:val="0"/>
          <w:numId w:val="1000"/>
        </w:numPr>
        <w:pStyle w:val="Compact"/>
      </w:pPr>
      <w:r>
        <w:t xml:space="preserve">Lawyer</w:t>
      </w:r>
      <w:r>
        <w:t xml:space="preserve">would seek to avoid from the outset.</w:t>
      </w:r>
    </w:p>
    <w:bookmarkEnd w:id="27"/>
    <w:bookmarkStart w:id="28" w:name="conclusion"/>
    <w:p>
      <w:pPr>
        <w:pStyle w:val="Heading2"/>
      </w:pPr>
      <w:r>
        <w:t xml:space="preserve">7. Conclusion</w:t>
      </w:r>
    </w:p>
    <w:p>
      <w:pPr>
        <w:pStyle w:val="FirstParagraph"/>
      </w:pPr>
      <w:r>
        <w:t xml:space="preserve">The dynamic legal environment of the</w:t>
      </w:r>
      <w:r>
        <w:t xml:space="preserve"> </w:t>
      </w:r>
      <w:r>
        <w:rPr>
          <w:bCs/>
          <w:b/>
        </w:rPr>
        <w:t xml:space="preserve">United Arab Emirates Dubai</w:t>
      </w:r>
      <w:r>
        <w:t xml:space="preserve">presents both opportunities and challenges for international businesses. This Case Study illustrates that while the legal statutes provide a framework, it is the expertise of a capable</w:t>
      </w:r>
    </w:p>
    <w:p>
      <w:pPr>
        <w:pStyle w:val="BodyText"/>
      </w:pPr>
      <w:r>
        <w:t xml:space="preserve">Lawyer</w:t>
      </w:r>
      <w:r>
        <w:t xml:space="preserve">that navigates the complexities of cross-border disputes. By combining technical legal proficiency with cultural intelligence, legal professionals in Dubai play a pivotal role in maintaining business stability and fostering international trade relations.</w:t>
      </w:r>
    </w:p>
    <w:p>
      <w:pPr>
        <w:pStyle w:val="BodyText"/>
      </w:pPr>
      <w:r>
        <w:t xml:space="preserve">In conclusion, for any entity engaging in commerce within</w:t>
      </w:r>
      <w:r>
        <w:t xml:space="preserve"> </w:t>
      </w:r>
      <w:r>
        <w:rPr>
          <w:bCs/>
          <w:b/>
        </w:rPr>
        <w:t xml:space="preserve">Dubai</w:t>
      </w:r>
      <w:r>
        <w:t xml:space="preserve">, securing representation from a lawyer who deeply understands the nuances of UAE law is not merely an administrative necessity but a strategic imperative. The successful resolution of disputes relies heavily on the ability to harmonize international commercial expectations with the specific legal and cultural realities of the</w:t>
      </w:r>
    </w:p>
    <w:p>
      <w:pPr>
        <w:pStyle w:val="BodyText"/>
      </w:pPr>
      <w:r>
        <w:t xml:space="preserve">United Arab Emirates.</w:t>
      </w:r>
    </w:p>
    <w:p>
      <w:r>
        <w:pict>
          <v:rect style="width:0;height:1.5pt" o:hralign="center" o:hrstd="t" o:hr="t"/>
        </w:pict>
      </w:r>
    </w:p>
    <w:p>
      <w:pPr>
        <w:pStyle w:val="FirstParagraph"/>
      </w:pPr>
      <w:r>
        <w:rPr>
          <w:iCs/>
          <w:i/>
        </w:rPr>
        <w:t xml:space="preserve">Disclaimer: This document is for educational purposes only and does not constitute legal advice. Readers should consult with a qualified attorney for specific legal matters in the United Arab Emirates.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Legal Representation in the United Arab Emirates Dubai</dc:title>
  <dc:creator/>
  <dc:language>en</dc:language>
  <cp:keywords/>
  <dcterms:created xsi:type="dcterms:W3CDTF">2026-07-29T11:26:23Z</dcterms:created>
  <dcterms:modified xsi:type="dcterms:W3CDTF">2026-07-29T11:26:23Z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