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Legal</w:t>
      </w:r>
      <w:r>
        <w:t xml:space="preserve"> </w:t>
      </w:r>
      <w:r>
        <w:t xml:space="preserve">Excellence</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4" w:name="Xdd5cd8fe2b68bdf701a2941e8cf52d14caabab0"/>
    <w:p>
      <w:pPr>
        <w:pStyle w:val="Heading1"/>
      </w:pPr>
      <w:r>
        <w:t xml:space="preserve">A Strategic Defense: A Case Study on Complex Litigation in United Kingdom Birmingham</w:t>
      </w:r>
    </w:p>
    <w:p>
      <w:pPr>
        <w:pStyle w:val="FirstParagraph"/>
      </w:pPr>
      <w:r>
        <w:rPr>
          <w:bCs/>
          <w:b/>
        </w:rPr>
        <w:t xml:space="preserve">Date:</w:t>
      </w:r>
      <w:r>
        <w:t xml:space="preserve"> </w:t>
      </w:r>
      <w:r>
        <w:t xml:space="preserve">October 14, 2023</w:t>
      </w:r>
      <w:r>
        <w:br/>
      </w:r>
      <w:r>
        <w:rPr>
          <w:bCs/>
          <w:b/>
        </w:rPr>
        <w:t xml:space="preserve">Jurisdiction:</w:t>
      </w:r>
      <w:r>
        <w:t xml:space="preserve">The High Court of Justice, West Midlands District Registry</w:t>
      </w:r>
      <w:r>
        <w:br/>
      </w:r>
      <w:r>
        <w:rPr>
          <w:bCs/>
          <w:b/>
        </w:rPr>
        <w:t xml:space="preserve">Subject:</w:t>
      </w:r>
      <w:r>
        <w:t xml:space="preserve">Civil and Commercial Dispute Resolution</w:t>
      </w:r>
    </w:p>
    <w:bookmarkStart w:id="21" w:name="executive-summary"/>
    <w:p>
      <w:pPr>
        <w:pStyle w:val="Heading2"/>
      </w:pPr>
      <w:r>
        <w:t xml:space="preserve">Executive Summary</w:t>
      </w:r>
    </w:p>
    <w:p>
      <w:pPr>
        <w:pStyle w:val="FirstParagraph"/>
      </w:pPr>
      <w:r>
        <w:t xml:space="preserve">In the bustling legal landscape of</w:t>
      </w:r>
      <w:r>
        <w:t xml:space="preserve"> </w:t>
      </w:r>
      <w:hyperlink r:id="rId20">
        <w:r>
          <w:rPr>
            <w:rStyle w:val="Hyperlink"/>
          </w:rPr>
          <w:t xml:space="preserve">United Kingdom Birmingham</w:t>
        </w:r>
      </w:hyperlink>
      <w:r>
        <w:t xml:space="preserve">, commercial disputes are increasingly complex, often involving cross-border elements, sophisticated financial instruments, and high-stakes corporate interests. This case study details a significant legal battle that unfolded in the heart of England’s second city. It highlights how specialized expertise can pivot a potentially devastating liability into a favorable settlement for a mid-sized manufacturing firm.</w:t>
      </w:r>
    </w:p>
    <w:bookmarkEnd w:id="21"/>
    <w:bookmarkStart w:id="22" w:name="X545cd380ecb3b17ea227248c9b56ac635a695d3"/>
    <w:p>
      <w:pPr>
        <w:pStyle w:val="Heading2"/>
      </w:pPr>
      <w:r>
        <w:t xml:space="preserve">Client Background: The Birmingham Manufacturing Consortium</w:t>
      </w:r>
    </w:p>
    <w:p>
      <w:pPr>
        <w:pStyle w:val="FirstParagraph"/>
      </w:pPr>
      <w:r>
        <w:t xml:space="preserve">The client, "Midlands Precision Engineering Ltd." (MPE), is a respected manufacturer based in the industrial districts of</w:t>
      </w:r>
      <w:r>
        <w:t xml:space="preserve"> </w:t>
      </w:r>
      <w:r>
        <w:rPr>
          <w:bCs/>
          <w:b/>
        </w:rPr>
        <w:t xml:space="preserve">Birmingham</w:t>
      </w:r>
      <w:r>
        <w:t xml:space="preserve">. For over three decades, MPE has supplied critical components to major aerospace firms. However, in late 2021, the company faced an existential threat. A former partner firm accused MPE of breaching exclusive supply agreements and misappropriating proprietary design data.</w:t>
      </w:r>
    </w:p>
    <w:p>
      <w:pPr>
        <w:pStyle w:val="BodyText"/>
      </w:pPr>
      <w:r>
        <w:t xml:space="preserve">The allegations were not merely contractual; they touched upon intellectual property theft, a charge that could have resulted in crippling damages and reputational ruin. The dispute was filed in the Birmingham County Court before being transferred to the High Court due to its complexity and value exceeding £50 million.</w:t>
      </w:r>
    </w:p>
    <w:bookmarkEnd w:id="22"/>
    <w:bookmarkStart w:id="23" w:name="the-legal-challenge"/>
    <w:p>
      <w:pPr>
        <w:pStyle w:val="Heading2"/>
      </w:pPr>
      <w:r>
        <w:t xml:space="preserve">The Legal Challenge</w:t>
      </w:r>
    </w:p>
    <w:p>
      <w:pPr>
        <w:pStyle w:val="FirstParagraph"/>
      </w:pPr>
      <w:r>
        <w:t xml:space="preserve">MPE approached their legal counsel with a dire situation. The opposing party, a multinational conglomerate based overseas but operating extensively in</w:t>
      </w:r>
      <w:r>
        <w:t xml:space="preserve"> </w:t>
      </w:r>
      <w:r>
        <w:rPr>
          <w:bCs/>
          <w:b/>
        </w:rPr>
        <w:t xml:space="preserve">Birmingham</w:t>
      </w:r>
      <w:r>
        <w:t xml:space="preserve">, had initiated proceedings alleging:</w:t>
      </w:r>
    </w:p>
    <w:p>
      <w:pPr>
        <w:numPr>
          <w:ilvl w:val="0"/>
          <w:numId w:val="1001"/>
        </w:numPr>
        <w:pStyle w:val="Compact"/>
      </w:pPr>
      <w:r>
        <w:t xml:space="preserve">Breach of Contract under English Law.</w:t>
      </w:r>
    </w:p>
    <w:p>
      <w:pPr>
        <w:numPr>
          <w:ilvl w:val="0"/>
          <w:numId w:val="1001"/>
        </w:numPr>
        <w:pStyle w:val="Compact"/>
      </w:pPr>
      <w:r>
        <w:t xml:space="preserve">Infringement of Trade Secrets.</w:t>
      </w:r>
    </w:p>
    <w:p>
      <w:pPr>
        <w:numPr>
          <w:ilvl w:val="0"/>
          <w:numId w:val="1001"/>
        </w:numPr>
        <w:pStyle w:val="Compact"/>
      </w:pPr>
      <w:r>
        <w:t xml:space="preserve">Tortious Interference with Business Relationships.</w:t>
      </w:r>
    </w:p>
    <w:p>
      <w:pPr>
        <w:pStyle w:val="FirstParagraph"/>
      </w:pPr>
      <w:r>
        <w:t xml:space="preserve">The initial assessment by the retained legal team revealed several weaknesses in MPE’s position. Key documents had been inadvertently deleted during a server migration two years prior. Furthermore, former employees who held crucial institutional knowledge had left the company, making it difficult to reconstruct the timeline of events. The risk profile was extremely high, with potential damages estimated at upwards of £40 million.</w:t>
      </w:r>
    </w:p>
    <w:bookmarkEnd w:id="23"/>
    <w:bookmarkStart w:id="29" w:name="X3e5d71cdc884f85c25596fe2b962a17b2b47177"/>
    <w:p>
      <w:pPr>
        <w:pStyle w:val="Heading2"/>
      </w:pPr>
      <w:r>
        <w:t xml:space="preserve">The Lawyer’s Strategy: A Comprehensive Approach</w:t>
      </w:r>
    </w:p>
    <w:p>
      <w:pPr>
        <w:pStyle w:val="FirstParagraph"/>
      </w:pPr>
      <w:r>
        <w:t xml:space="preserve">To navigate this treacherous legal terrain, the designated</w:t>
      </w:r>
      <w:r>
        <w:t xml:space="preserve"> </w:t>
      </w:r>
      <w:hyperlink r:id="rId24">
        <w:r>
          <w:rPr>
            <w:rStyle w:val="Hyperlink"/>
            <w:bCs/>
            <w:b/>
          </w:rPr>
          <w:t xml:space="preserve">Lawyer</w:t>
        </w:r>
      </w:hyperlink>
      <w:r>
        <w:t xml:space="preserve"> </w:t>
      </w:r>
      <w:r>
        <w:t xml:space="preserve">team adopted a multi-faceted strategy. Recognizing the unique dynamics of litigation in</w:t>
      </w:r>
      <w:r>
        <w:t xml:space="preserve"> </w:t>
      </w:r>
      <w:hyperlink r:id="rId25">
        <w:r>
          <w:rPr>
            <w:rStyle w:val="Hyperlink"/>
            <w:bCs/>
            <w:b/>
          </w:rPr>
          <w:t xml:space="preserve">United Kingdom Birmingham</w:t>
        </w:r>
      </w:hyperlink>
      <w:r>
        <w:t xml:space="preserve">, they leveraged local procedural nuances and international precedents.</w:t>
      </w:r>
    </w:p>
    <w:bookmarkStart w:id="26" w:name="X95e7423ee10dbf681f368a85f5adc0740756cfa"/>
    <w:p>
      <w:pPr>
        <w:pStyle w:val="Heading3"/>
      </w:pPr>
      <w:r>
        <w:t xml:space="preserve">Phase 1: Forensic Discovery and Evidence Preservation</w:t>
      </w:r>
    </w:p>
    <w:p>
      <w:pPr>
        <w:pStyle w:val="FirstParagraph"/>
      </w:pPr>
      <w:r>
        <w:t xml:space="preserve">The first step was to halt the bleeding. The legal team immediately implemented strict litigation hold protocols across all MPE departments. They engaged digital forensic experts to recover deleted data from backup servers located in Manchester and London. This technical diligence allowed them to retrieve critical emails that contradicted the allegations of intentional misappropriation.</w:t>
      </w:r>
    </w:p>
    <w:bookmarkEnd w:id="26"/>
    <w:bookmarkStart w:id="27" w:name="X255c39f9a6aef19339234effce2af2d7a14ad6b"/>
    <w:p>
      <w:pPr>
        <w:pStyle w:val="Heading3"/>
      </w:pPr>
      <w:r>
        <w:t xml:space="preserve">Phase 2: Strategic Pre-Trial Motion Practice</w:t>
      </w:r>
    </w:p>
    <w:p>
      <w:pPr>
        <w:pStyle w:val="FirstParagraph"/>
      </w:pPr>
      <w:r>
        <w:t xml:space="preserve">The</w:t>
      </w:r>
      <w:r>
        <w:t xml:space="preserve"> </w:t>
      </w:r>
      <w:hyperlink r:id="rId24">
        <w:r>
          <w:rPr>
            <w:rStyle w:val="Hyperlink"/>
            <w:bCs/>
            <w:b/>
          </w:rPr>
          <w:t xml:space="preserve">Lawyer</w:t>
        </w:r>
      </w:hyperlink>
      <w:r>
        <w:t xml:space="preserve"> </w:t>
      </w:r>
      <w:r>
        <w:t xml:space="preserve">filed a series of detailed statements of case, challenging the jurisdictional basis of certain claims. They argued that key decisions regarding the alleged intellectual property had been made outside England, thereby questioning the applicability of UK trade secret laws in specific instances. This procedural maneuvering bought crucial time and narrowed the scope of discovery.</w:t>
      </w:r>
    </w:p>
    <w:bookmarkEnd w:id="27"/>
    <w:bookmarkStart w:id="28" w:name="X08bb69213484eb8372c9d4e6b62e0ccf8d42228"/>
    <w:p>
      <w:pPr>
        <w:pStyle w:val="Heading3"/>
      </w:pPr>
      <w:r>
        <w:t xml:space="preserve">Phase 3: Alternative Dispute Resolution (ADR)</w:t>
      </w:r>
    </w:p>
    <w:p>
      <w:pPr>
        <w:pStyle w:val="FirstParagraph"/>
      </w:pPr>
      <w:r>
        <w:t xml:space="preserve">Aware of the costs and uncertainties associated with a full trial in</w:t>
      </w:r>
      <w:r>
        <w:t xml:space="preserve"> </w:t>
      </w:r>
      <w:hyperlink r:id="rId25">
        <w:r>
          <w:rPr>
            <w:rStyle w:val="Hyperlink"/>
            <w:bCs/>
            <w:b/>
          </w:rPr>
          <w:t xml:space="preserve">United Kingdom Birmingham</w:t>
        </w:r>
      </w:hyperlink>
      <w:r>
        <w:t xml:space="preserve">, the legal team pushed for mediation. They utilized the expertise of local mediators who understood both English law and international business practices. By presenting a strong preliminary case supported by forensic evidence, they shifted the power dynamic.</w:t>
      </w:r>
    </w:p>
    <w:bookmarkEnd w:id="28"/>
    <w:bookmarkEnd w:id="29"/>
    <w:bookmarkStart w:id="30" w:name="the-turning-point-the-witness-statement"/>
    <w:p>
      <w:pPr>
        <w:pStyle w:val="Heading2"/>
      </w:pPr>
      <w:r>
        <w:t xml:space="preserve">The Turning Point: The Witness Statement</w:t>
      </w:r>
    </w:p>
    <w:p>
      <w:pPr>
        <w:pStyle w:val="FirstParagraph"/>
      </w:pPr>
      <w:r>
        <w:t xml:space="preserve">During pre-trial hearings, the</w:t>
      </w:r>
      <w:r>
        <w:t xml:space="preserve"> </w:t>
      </w:r>
      <w:hyperlink r:id="rId24">
        <w:r>
          <w:rPr>
            <w:rStyle w:val="Hyperlink"/>
            <w:bCs/>
            <w:b/>
          </w:rPr>
          <w:t xml:space="preserve">Lawyer</w:t>
        </w:r>
      </w:hyperlink>
      <w:r>
        <w:t xml:space="preserve"> </w:t>
      </w:r>
      <w:r>
        <w:t xml:space="preserve">introduced a witness statement from a former senior engineer at the opposing party. This individual, who had recently resigned due to ethical concerns, provided testimony that directly contradicted the claim of misappropriation. The evidence showed that MPE had developed their technology independently, using publicly available information and internal R&amp;D resources.</w:t>
      </w:r>
    </w:p>
    <w:p>
      <w:pPr>
        <w:pStyle w:val="BodyText"/>
      </w:pPr>
      <w:r>
        <w:t xml:space="preserve">This development was pivotal. It undermined the core allegation of theft and exposed inconsistencies in the opponent’s narrative. The pressure mounted on the opposing counsel to reconsider their position.</w:t>
      </w:r>
    </w:p>
    <w:bookmarkEnd w:id="30"/>
    <w:bookmarkStart w:id="31" w:name="the-outcome"/>
    <w:p>
      <w:pPr>
        <w:pStyle w:val="Heading2"/>
      </w:pPr>
      <w:r>
        <w:t xml:space="preserve">The Outcome</w:t>
      </w:r>
    </w:p>
    <w:p>
      <w:pPr>
        <w:pStyle w:val="FirstParagraph"/>
      </w:pPr>
      <w:r>
        <w:t xml:space="preserve">Following intense negotiations facilitated by the</w:t>
      </w:r>
      <w:r>
        <w:t xml:space="preserve"> </w:t>
      </w:r>
      <w:hyperlink r:id="rId24">
        <w:r>
          <w:rPr>
            <w:rStyle w:val="Hyperlink"/>
            <w:bCs/>
            <w:b/>
          </w:rPr>
          <w:t xml:space="preserve">Lawyer</w:t>
        </w:r>
      </w:hyperlink>
      <w:r>
        <w:t xml:space="preserve">, a settlement was reached in March 2023. The terms included:</w:t>
      </w:r>
    </w:p>
    <w:p>
      <w:pPr>
        <w:numPr>
          <w:ilvl w:val="0"/>
          <w:numId w:val="1002"/>
        </w:numPr>
        <w:pStyle w:val="Compact"/>
      </w:pPr>
      <w:r>
        <w:t xml:space="preserve">A mutual release of all claims, meaning no admission of liability by MPE.</w:t>
      </w:r>
    </w:p>
    <w:p>
      <w:pPr>
        <w:numPr>
          <w:ilvl w:val="0"/>
          <w:numId w:val="1002"/>
        </w:numPr>
        <w:pStyle w:val="Compact"/>
      </w:pPr>
      <w:r>
        <w:t xml:space="preserve">A modest payment from the opposing party to cover MPE’s legal costs, which were significantly lower than anticipated due to the efficiency of the defense strategy.</w:t>
      </w:r>
    </w:p>
    <w:p>
      <w:pPr>
        <w:numPr>
          <w:ilvl w:val="0"/>
          <w:numId w:val="1002"/>
        </w:numPr>
        <w:pStyle w:val="Compact"/>
      </w:pPr>
      <w:r>
        <w:t xml:space="preserve">The right for MPE to continue using their technology without restriction.</w:t>
      </w:r>
    </w:p>
    <w:p>
      <w:pPr>
        <w:pStyle w:val="FirstParagraph"/>
      </w:pPr>
      <w:r>
        <w:t xml:space="preserve">This outcome preserved MPE’s reputation in</w:t>
      </w:r>
      <w:r>
        <w:t xml:space="preserve"> </w:t>
      </w:r>
      <w:hyperlink r:id="rId25">
        <w:r>
          <w:rPr>
            <w:rStyle w:val="Hyperlink"/>
            <w:bCs/>
            <w:b/>
          </w:rPr>
          <w:t xml:space="preserve">Birmingham</w:t>
        </w:r>
      </w:hyperlink>
      <w:r>
        <w:t xml:space="preserve"> </w:t>
      </w:r>
      <w:r>
        <w:t xml:space="preserve">and allowed them to maintain contracts with major aerospace clients. The company avoided bankruptcy and was able to invest in new R&amp;D projects within the year.</w:t>
      </w:r>
    </w:p>
    <w:bookmarkEnd w:id="31"/>
    <w:bookmarkStart w:id="32" w:name="key-takeaways-for-legal-practitioners"/>
    <w:p>
      <w:pPr>
        <w:pStyle w:val="Heading2"/>
      </w:pPr>
      <w:r>
        <w:t xml:space="preserve">Key Takeaways for Legal Practitioners</w:t>
      </w:r>
    </w:p>
    <w:p>
      <w:pPr>
        <w:pStyle w:val="FirstParagraph"/>
      </w:pPr>
      <w:r>
        <w:t xml:space="preserve">This case study illustrates several critical lessons for legal professionals operating in</w:t>
      </w:r>
      <w:r>
        <w:t xml:space="preserve"> </w:t>
      </w:r>
      <w:hyperlink r:id="rId25">
        <w:r>
          <w:rPr>
            <w:rStyle w:val="Hyperlink"/>
            <w:bCs/>
            <w:b/>
          </w:rPr>
          <w:t xml:space="preserve">United Kingdom Birmingham</w:t>
        </w:r>
      </w:hyperlink>
      <w:r>
        <w:t xml:space="preserve">:</w:t>
      </w:r>
    </w:p>
    <w:p>
      <w:pPr>
        <w:numPr>
          <w:ilvl w:val="0"/>
          <w:numId w:val="1003"/>
        </w:numPr>
        <w:pStyle w:val="Compact"/>
      </w:pPr>
      <w:r>
        <w:rPr>
          <w:bCs/>
          <w:b/>
        </w:rPr>
        <w:t xml:space="preserve">Timeliness is Critical:</w:t>
      </w:r>
      <w:r>
        <w:t xml:space="preserve">The immediate implementation of litigation holds prevented further loss of evidence, which was decisive in the final outcome.</w:t>
      </w:r>
    </w:p>
    <w:p>
      <w:pPr>
        <w:numPr>
          <w:ilvl w:val="0"/>
          <w:numId w:val="1003"/>
        </w:numPr>
        <w:pStyle w:val="Compact"/>
      </w:pPr>
      <w:r>
        <w:rPr>
          <w:bCs/>
          <w:b/>
        </w:rPr>
        <w:t xml:space="preserve">Leverage Local Expertise:</w:t>
      </w:r>
      <w:r>
        <w:t xml:space="preserve">A deep understanding of local court procedures in</w:t>
      </w:r>
      <w:r>
        <w:t xml:space="preserve"> </w:t>
      </w:r>
      <w:hyperlink r:id="rId25">
        <w:r>
          <w:rPr>
            <w:rStyle w:val="Hyperlink"/>
          </w:rPr>
          <w:t xml:space="preserve">Birmingham</w:t>
        </w:r>
      </w:hyperlink>
      <w:r>
        <w:t xml:space="preserve"> </w:t>
      </w:r>
      <w:r>
        <w:t xml:space="preserve">allowed for strategic filing that complicated the opponent’s case early on.</w:t>
      </w:r>
    </w:p>
    <w:p>
      <w:pPr>
        <w:numPr>
          <w:ilvl w:val="0"/>
          <w:numId w:val="1003"/>
        </w:numPr>
        <w:pStyle w:val="Compact"/>
      </w:pPr>
      <w:r>
        <w:rPr>
          <w:bCs/>
          <w:b/>
        </w:rPr>
        <w:t xml:space="preserve">The Role of Technology:</w:t>
      </w:r>
      <w:r>
        <w:t xml:space="preserve">In modern disputes, digital forensics is not just supplementary; it is often central to proving or disproving allegations of intent.</w:t>
      </w:r>
    </w:p>
    <w:p>
      <w:pPr>
        <w:numPr>
          <w:ilvl w:val="0"/>
          <w:numId w:val="1003"/>
        </w:numPr>
        <w:pStyle w:val="Compact"/>
      </w:pPr>
      <w:r>
        <w:rPr>
          <w:bCs/>
          <w:b/>
        </w:rPr>
        <w:t xml:space="preserve">The Power of ADR:</w:t>
      </w:r>
      <w:r>
        <w:t xml:space="preserve">A skilled</w:t>
      </w:r>
      <w:r>
        <w:t xml:space="preserve"> </w:t>
      </w:r>
      <w:hyperlink r:id="rId24">
        <w:r>
          <w:rPr>
            <w:rStyle w:val="Hyperlink"/>
          </w:rPr>
          <w:t xml:space="preserve">Lawyer</w:t>
        </w:r>
      </w:hyperlink>
      <w:r>
        <w:t xml:space="preserve"> </w:t>
      </w:r>
      <w:r>
        <w:t xml:space="preserve">knows when to fight and when to negotiate. The willingness to mediate, backed by a strong trial posture, often yields better financial results than a protracted battle.</w:t>
      </w:r>
    </w:p>
    <w:bookmarkEnd w:id="32"/>
    <w:bookmarkStart w:id="33" w:name="conclusion"/>
    <w:p>
      <w:pPr>
        <w:pStyle w:val="Heading2"/>
      </w:pPr>
      <w:r>
        <w:t xml:space="preserve">Conclusion</w:t>
      </w:r>
    </w:p>
    <w:p>
      <w:pPr>
        <w:pStyle w:val="FirstParagraph"/>
      </w:pPr>
      <w:r>
        <w:t xml:space="preserve">The resolution of the Midlands Precision Engineering dispute stands as a testament to the importance of robust legal representation in complex commercial matters. For businesses in</w:t>
      </w:r>
      <w:r>
        <w:t xml:space="preserve"> </w:t>
      </w:r>
      <w:hyperlink r:id="rId25">
        <w:r>
          <w:rPr>
            <w:rStyle w:val="Hyperlink"/>
          </w:rPr>
          <w:t xml:space="preserve">Birmingham</w:t>
        </w:r>
      </w:hyperlink>
      <w:r>
        <w:t xml:space="preserve">, navigating the intricacies of English law requires more than just knowledge; it demands strategy, foresight, and relentless advocacy.</w:t>
      </w:r>
    </w:p>
    <w:p>
      <w:pPr>
        <w:pStyle w:val="BodyText"/>
      </w:pPr>
      <w:r>
        <w:t xml:space="preserve">This case study underscores that even when faced with overwhelming odds, a well-executed defense led by an experienced</w:t>
      </w:r>
      <w:r>
        <w:t xml:space="preserve"> </w:t>
      </w:r>
      <w:hyperlink r:id="rId24">
        <w:r>
          <w:rPr>
            <w:rStyle w:val="Hyperlink"/>
          </w:rPr>
          <w:t xml:space="preserve">Lawyer</w:t>
        </w:r>
      </w:hyperlink>
      <w:r>
        <w:t xml:space="preserve"> </w:t>
      </w:r>
      <w:r>
        <w:t xml:space="preserve">can secure justice and stability. As commercial ties in</w:t>
      </w:r>
      <w:r>
        <w:t xml:space="preserve"> </w:t>
      </w:r>
      <w:hyperlink r:id="rId25">
        <w:r>
          <w:rPr>
            <w:rStyle w:val="Hyperlink"/>
          </w:rPr>
          <w:t xml:space="preserve">United Kingdom Birmingham</w:t>
        </w:r>
      </w:hyperlink>
      <w:r>
        <w:t xml:space="preserve"> </w:t>
      </w:r>
      <w:r>
        <w:t xml:space="preserve">continue to grow, the demand for such specialized legal expertise will only increase. Clients must prioritize partners who understand not just the law, but the specific economic and cultural context of their region.</w:t>
      </w:r>
    </w:p>
    <w:p>
      <w:pPr>
        <w:pStyle w:val="BodyText"/>
      </w:pPr>
      <w:r>
        <w:rPr>
          <w:iCs/>
          <w:i/>
        </w:rPr>
        <w:t xml:space="preserve">"Justice is not just about winning; it is about protecting your future while honoring your present obligations. In</w:t>
      </w:r>
      <w:r>
        <w:rPr>
          <w:iCs/>
          <w:i/>
        </w:rPr>
        <w:t xml:space="preserve"> </w:t>
      </w:r>
      <w:hyperlink r:id="rId25">
        <w:r>
          <w:rPr>
            <w:rStyle w:val="Hyperlink"/>
            <w:iCs/>
            <w:i/>
          </w:rPr>
          <w:t xml:space="preserve">Birmingham</w:t>
        </w:r>
      </w:hyperlink>
      <w:r>
        <w:rPr>
          <w:iCs/>
          <w:i/>
        </w:rPr>
        <w:t xml:space="preserve">, we believe that every client deserves a fight that is as rigorous as their business ambitions."</w:t>
      </w:r>
    </w:p>
    <w:p>
      <w:r>
        <w:pict>
          <v:rect style="width:0;height:1.5pt" o:hralign="center" o:hrstd="t" o:hr="t"/>
        </w:pict>
      </w:r>
    </w:p>
    <w:p>
      <w:pPr>
        <w:pStyle w:val="FirstParagraph"/>
      </w:pPr>
      <w:r>
        <w:t xml:space="preserve">Note: This document is for educational purposes only and does not constitute legal advice. All names of entities and individuals have been altered to protect confidentiality.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5" Target="https://en.wikipedia.org/wiki/Birmingham" TargetMode="External" /><Relationship Type="http://schemas.openxmlformats.org/officeDocument/2006/relationships/hyperlink" Id="rId20" Target="https://en.wikipedia.org/wiki/Law_in_the_United_Kingdom" TargetMode="External" /><Relationship Type="http://schemas.openxmlformats.org/officeDocument/2006/relationships/hyperlink" Id="rId24" Target="https://en.wikipedia.org/wiki/Lawyer" TargetMode="External" /></Relationships>
</file>

<file path=word/_rels/footnotes.xml.rels><?xml version="1.0" encoding="UTF-8"?><Relationships xmlns="http://schemas.openxmlformats.org/package/2006/relationships"><Relationship Type="http://schemas.openxmlformats.org/officeDocument/2006/relationships/hyperlink" Id="rId25" Target="https://en.wikipedia.org/wiki/Birmingham" TargetMode="External" /><Relationship Type="http://schemas.openxmlformats.org/officeDocument/2006/relationships/hyperlink" Id="rId20" Target="https://en.wikipedia.org/wiki/Law_in_the_United_Kingdom" TargetMode="External" /><Relationship Type="http://schemas.openxmlformats.org/officeDocument/2006/relationships/hyperlink" Id="rId24" Target="https://en.wikipedia.org/wiki/Lawyer"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Legal Excellence in United Kingdom Birmingham</dc:title>
  <dc:creator/>
  <dc:language>en</dc:language>
  <cp:keywords/>
  <dcterms:created xsi:type="dcterms:W3CDTF">2026-07-29T08:39:04Z</dcterms:created>
  <dcterms:modified xsi:type="dcterms:W3CDTF">2026-07-29T08:39:04Z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