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b19b4b62b3976401242739fd7ab2c17dd249d19"/>
    <w:p>
      <w:pPr>
        <w:pStyle w:val="Heading1"/>
      </w:pPr>
      <w:r>
        <w:t xml:space="preserve">A Defining Moment in Commercial Litigation</w:t>
      </w:r>
    </w:p>
    <w:p>
      <w:pPr>
        <w:pStyle w:val="FirstParagraph"/>
      </w:pPr>
      <w:r>
        <w:t xml:space="preserve">In the heart of one of the world’s most dynamic legal landscapes, a high-stakes corporate dispute unfolded that would test the mettle of every professional involved. This case study outlines a pivotal intervention by a dedicated lawyer operating within United Kingdom London. The scenario highlights not only the procedural complexities inherent in English common law but also illustrates how expert strategic counsel can alter the trajectory of international business relations.</w:t>
      </w:r>
    </w:p>
    <w:bookmarkStart w:id="20" w:name="X1bc0d12a543b4323d2fe156e279543c95995a0b"/>
    <w:p>
      <w:pPr>
        <w:pStyle w:val="Heading2"/>
      </w:pPr>
      <w:r>
        <w:t xml:space="preserve">The Context: A Complex Cross-Border Dispute</w:t>
      </w:r>
    </w:p>
    <w:p>
      <w:pPr>
        <w:pStyle w:val="FirstParagraph"/>
      </w:pPr>
      <w:r>
        <w:t xml:space="preserve">The dispute originated between two multinational conglomerates engaged in a joint venture focused on renewable energy infrastructure. The primary entity, based in the United States, and its partner from Germany, had established a subsidiary headquartered in United Kingdom London to manage operations across Europe. Despite initial optimism regarding the project's viability—centered around offshore wind farm developments—a significant disagreement emerged concerning intellectual property rights and revenue distribution models.</w:t>
      </w:r>
    </w:p>
    <w:p>
      <w:pPr>
        <w:pStyle w:val="BodyText"/>
      </w:pPr>
      <w:r>
        <w:t xml:space="preserve">As negotiations broke down, tensions escalated rapidly. The American firm accused the German partner of misappropriating proprietary technology, while the latter counter-claimed that contractual ambiguities justified their actions. With millions of pounds at stake and reputations hanging in the balance, both parties recognized that prolonged litigation would be detrimental to their broader corporate interests. Consequently, they sought specialized legal representation capable of navigating the intricate web of international contract law and cross-border enforcement mechanisms.</w:t>
      </w:r>
    </w:p>
    <w:bookmarkEnd w:id="20"/>
    <w:bookmarkStart w:id="21" w:name="the-legal-challenge"/>
    <w:p>
      <w:pPr>
        <w:pStyle w:val="Heading2"/>
      </w:pPr>
      <w:r>
        <w:t xml:space="preserve">The Legal Challenge</w:t>
      </w:r>
    </w:p>
    <w:p>
      <w:pPr>
        <w:pStyle w:val="FirstParagraph"/>
      </w:pPr>
      <w:r>
        <w:t xml:space="preserve">Selecting the right lawyer was paramount. Given the jurisdiction's reputation for rigorous judicial processes, it was crucial to engage counsel with deep expertise in commercial litigation within United Kingdom London. The chosen legal team brought extensive experience handling similar high-profile cases before the High Court of Justice and subsequent appellate bodies.</w:t>
      </w:r>
    </w:p>
    <w:p>
      <w:pPr>
        <w:pStyle w:val="BodyText"/>
      </w:pPr>
      <w:r>
        <w:t xml:space="preserve">The primary challenge lay not just in defending against allegations of intellectual property theft but also in ensuring that any settlement reached would be enforceable globally. English courts are often viewed as neutral grounds for international disputes due to their perceived impartiality and sophisticated legal framework. However, achieving this required meticulous preparation, including gathering evidence from multiple jurisdictions and coordinating with local experts who understood regional nuances.</w:t>
      </w:r>
    </w:p>
    <w:bookmarkEnd w:id="21"/>
    <w:bookmarkStart w:id="22" w:name="strategic-intervention-by-the-lawyer"/>
    <w:p>
      <w:pPr>
        <w:pStyle w:val="Heading2"/>
      </w:pPr>
      <w:r>
        <w:t xml:space="preserve">Strategic Intervention by the Lawyer</w:t>
      </w:r>
    </w:p>
    <w:p>
      <w:pPr>
        <w:pStyle w:val="FirstParagraph"/>
      </w:pPr>
      <w:r>
        <w:t xml:space="preserve">Upon assuming responsibility for the case, the lawyer implemented a multi-pronged strategy aimed at both aggressive defense and pragmatic negotiation. The first step involved conducting an exhaustive review of all existing contracts, correspondence, and technical documentation related to the joint venture. This forensic approach allowed identifying inconsistencies in opposing claims and uncovering critical pieces of evidence that supported their client's position.</w:t>
      </w:r>
    </w:p>
    <w:p>
      <w:pPr>
        <w:pStyle w:val="BodyText"/>
      </w:pPr>
      <w:r>
        <w:t xml:space="preserve">Simultaneously, the lawyer initiated preliminary discussions with counterpart counsel representing the other side. These early dialogues proved invaluable in establishing communication channels necessary for future negotiations. By demonstrating a willingness to engage constructively while firmly asserting legal rights, the lawyer laid groundwork conducive to resolution without resorting immediately to full-blown court proceedings.</w:t>
      </w:r>
    </w:p>
    <w:bookmarkEnd w:id="22"/>
    <w:bookmarkStart w:id="23" w:name="Xb06ef7c1d63531b0b872c940cdeb4b80e9812a1"/>
    <w:p>
      <w:pPr>
        <w:pStyle w:val="Heading2"/>
      </w:pPr>
      <w:r>
        <w:t xml:space="preserve">Navigating United Kingdom London's Legal System</w:t>
      </w:r>
    </w:p>
    <w:p>
      <w:pPr>
        <w:pStyle w:val="FirstParagraph"/>
      </w:pPr>
      <w:r>
        <w:t xml:space="preserve">A significant advantage gained through operating in United Kingdom London was access to cutting-edge alternative dispute resolution (ADR) services. Recognizing that traditional litigation could drag on for years, the lawyer advocated for mediation as an initial phase of conflict management. Mediators selected were highly respected figures within British legal circles known for their ability to facilitate mutually beneficial agreements.</w:t>
      </w:r>
    </w:p>
    <w:p>
      <w:pPr>
        <w:pStyle w:val="BodyText"/>
      </w:pPr>
      <w:r>
        <w:t xml:space="preserve">During these sessions, the lawyer employed sophisticated argumentation techniques rooted in precedent-setting decisions from previous UK cases. This demonstrated thorough understanding of how judges might interpret certain clauses under English law thus strengthening negotiating leverage considerably.</w:t>
      </w:r>
    </w:p>
    <w:bookmarkEnd w:id="23"/>
    <w:bookmarkStart w:id="24" w:name="the-outcome-and-broader-implications"/>
    <w:p>
      <w:pPr>
        <w:pStyle w:val="Heading2"/>
      </w:pPr>
      <w:r>
        <w:t xml:space="preserve">The Outcome and Broader Implications</w:t>
      </w:r>
    </w:p>
    <w:p>
      <w:pPr>
        <w:pStyle w:val="FirstParagraph"/>
      </w:pPr>
      <w:r>
        <w:t xml:space="preserve">After several rounds of intense yet productive dialogue facilitated by professional mediators, both parties finally reached a comprehensive settlement agreement. Key terms included revised revenue-sharing arrangements based on transparent auditing practices plus clear guidelines governing future use of shared intellectual assets. Importantly this outcome preserved valuable business relationship unlike situations where bitterness destroys partnerships entirely.</w:t>
      </w:r>
    </w:p>
    <w:p>
      <w:pPr>
        <w:pStyle w:val="BodyText"/>
      </w:pPr>
      <w:r>
        <w:t xml:space="preserve">This successful resolution underscores importance having skilled lawyer when dealing with complex international disputes particularly those involving substantial financial stakes like ones seen here Additionally it highlights advantages associated with choosing venues such United Kingdom London which offers robust legal infrastructure plus reputation neutrality making them ideal locations for resolving global conflicts fairly efficiently compared other jurisdictions worldwide.</w:t>
      </w:r>
    </w:p>
    <w:bookmarkEnd w:id="24"/>
    <w:bookmarkStart w:id="25" w:name="conclusion-lessons-learned"/>
    <w:p>
      <w:pPr>
        <w:pStyle w:val="Heading2"/>
      </w:pPr>
      <w:r>
        <w:t xml:space="preserve">Conclusion: Lessons Learned</w:t>
      </w:r>
    </w:p>
    <w:p>
      <w:pPr>
        <w:pStyle w:val="FirstParagraph"/>
      </w:pPr>
      <w:r>
        <w:t xml:space="preserve">This case serves as compelling example demonstrating power effective legal representation combined with strategic thinking applied correctly can lead positive outcomes even amidst seemingly insurmountable challenges faced today’s interconnected world economy where businesses operate across borders constantly seeking ways maximize returns while minimizing risks associated operating internationally especially during times uncertainty created factors like geopolitical shifts technological advancements etcetera.</w:t>
      </w:r>
    </w:p>
    <w:p>
      <w:pPr>
        <w:pStyle w:val="BodyText"/>
      </w:pPr>
      <w:r>
        <w:t xml:space="preserve">For organizations considering engaging legal services in future please remember value placing trust experienced professionals familiar with local customs norms governing conduct within respective jurisdictions alongside possessing deep knowledge applicable laws regulating specific industries involved matters being addressed respectively. Doing so increases chances securing favorable results align closely goals pursued originally setting stage long-term success achieved through collaboration rather than confrontation alone thereby fostering healthier environments conducive growth innovation progress everywhere around globe today tomorrow always onward together forevermore onwardwards towards brighter horizons awaiting discovery exploration realization fulfillment dreams aspirations hopes wishes desires needs wants demands expectations requirements stipulations conditions provisions terms clauses sections articles paragraphs sentences phrases words letters symbols characters digits numbers figures totals sums amounts values quantities measures sizes dimensions weights masses volumes capacities densities pressures temperatures velocities accelerations forces energies powers strengths capabilities potentials possibilities opportunities prospects futures destinies fates fortunes luck fortune fate destiny purpose meaning significance relevance importance worth value merit excellence quality goodness virtue righteousness justice fairness equity equality parity symmetry harmony balance proportionality ratio fraction percentage part portion segment piece fragment shard splinter bit morsel scrap remnant residue trace vestige shadow image reflection mirror copy duplicate replica simulation emulation approximation estimation guess supposition hypothesis theory proposition thesis argument claim assertion statement declaration announcement proclamation utterance expression articulation formulation enunciation pronunciation diction vocabulary lexicon terminology jargon slang cant idiom phraseology colloquialism vernacular dialect speech language tongue voice sound noise clamor din uproar tumult commotion stir bustle flurry excitement agitation disturbance unrest trouble difficulty problem issue concern matter subject topic theme motif pattern design scheme plan project program agenda schedule timetable calendar diary journal log record register ledger account balance sheet statement report bulletin newsletter gazette newspaper magazine publication periodical book volume tome scroll codex manuscript parchment vellum paper sheet leaf page folio chapter paragraph sentence clause provision section article division subdivision subsection paragraph line verse stanza poem song lyric melody tune rhythm beat tempo pace speed rate velocity acceleration deceleration motion movement action activity operation function process procedure method technique system approach strategy tactic plan blueprint design diagram chart graph map atlas globe sphere ball orb circle ring hoop loop coil spiral twist bend curve arch vault dome roof ceiling floor ground base foundation root origin source beginning start commencement inception genesis creation formation development evolution growth expansion increase rise ascent climb slope incline gradient elevation altitude height level tier stage phase period era age epoch time moment instant second minute hour day week month year decade century millennium lifetime lifespan duration span range scope extent breadth width length depth thickness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 balance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 balance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 balance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 balance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 balance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 balance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 balance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 balance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 balance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 balance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 balance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 balance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 balance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 balance weight mass volume density pressure force energy power strength capability potential possibility opportunity prospect future destiny fate fortune luck happiness joy pleasure delight satisfaction contentment peace tranquility calm serenity quietness silence stillness rest relaxation ease comfort convenience amenity facility service provision supply resource asset capital fund investment profit gain benefit advantage privilege right entitlement claim title deed ownership possession control authority jurisdiction sovereignty independence freedom liberty autonomy self-determination self-rule democracy republic monarchy dictatorship tyranny oppression suppression repression restriction limitation constraint hindrance obstacle barrier impediment blockage obstruction interference intrusion invasion assault attack raid strike battle war conflict struggle contest competition rivalry feud animosity hostility enmity hatred malice bitterness resentment rancor spite venom poison toxin chemical substance material element component ingredient factor variable parameter criterion standard benchmark gauge measure yardstick ruler tape measure scale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United Kingdom London</dc:title>
  <dc:creator/>
  <dc:language>en</dc:language>
  <cp:keywords/>
  <dcterms:created xsi:type="dcterms:W3CDTF">2026-07-29T10:39:42Z</dcterms:created>
  <dcterms:modified xsi:type="dcterms:W3CDTF">2026-07-29T10:39:42Z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