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Legal</w:t>
      </w:r>
      <w:r>
        <w:t xml:space="preserve"> </w:t>
      </w:r>
      <w:r>
        <w:t xml:space="preserve">Excellence</w:t>
      </w:r>
      <w:r>
        <w:t xml:space="preserve"> </w:t>
      </w:r>
      <w:r>
        <w:t xml:space="preserve">in</w:t>
      </w:r>
      <w:r>
        <w:t xml:space="preserve"> </w:t>
      </w:r>
      <w:r>
        <w:t xml:space="preserve">the</w:t>
      </w:r>
      <w:r>
        <w:t xml:space="preserve"> </w:t>
      </w:r>
      <w:r>
        <w:t xml:space="preserve">Windy</w:t>
      </w:r>
      <w:r>
        <w:t xml:space="preserve"> </w:t>
      </w:r>
      <w:r>
        <w:t xml:space="preserve">City</w:t>
      </w:r>
    </w:p>
    <w:bookmarkStart w:id="30" w:name="Xf0f7acaa2aa9a68b3099409cd9cee4413303e2c"/>
    <w:p>
      <w:pPr>
        <w:pStyle w:val="Heading1"/>
      </w:pPr>
      <w:r>
        <w:t xml:space="preserve">A Strategic Defense in the Heart of America’s Commercial Capital</w:t>
      </w:r>
    </w:p>
    <w:bookmarkStart w:id="20" w:name="executive-summary"/>
    <w:p>
      <w:pPr>
        <w:pStyle w:val="Heading2"/>
      </w:pPr>
      <w:r>
        <w:t xml:space="preserve">Executive Summary</w:t>
      </w:r>
    </w:p>
    <w:p>
      <w:pPr>
        <w:pStyle w:val="FirstParagraph"/>
      </w:pPr>
      <w:r>
        <w:t xml:space="preserve">This</w:t>
      </w:r>
      <w:r>
        <w:t xml:space="preserve"> </w:t>
      </w:r>
      <w:r>
        <w:rPr>
          <w:bCs/>
          <w:b/>
        </w:rPr>
        <w:t xml:space="preserve">Case Study</w:t>
      </w:r>
    </w:p>
    <w:p>
      <w:pPr>
        <w:pStyle w:val="BodyText"/>
      </w:pPr>
      <w:r>
        <w:t xml:space="preserve">United States Chicago</w:t>
      </w:r>
      <w:r>
        <w:t xml:space="preserve"> </w:t>
      </w:r>
      <w:r>
        <w:t xml:space="preserve">jurisdiction to achieve a favorable settlement for our client. The document highlights the strategic application of federal and Illinois state laws, emphasizing the unique challenges posed by litigating in one of the most active court systems in North America.</w:t>
      </w:r>
    </w:p>
    <w:bookmarkEnd w:id="20"/>
    <w:bookmarkStart w:id="21" w:name="X9e112ceca20e4c1b6333ee9ef261c20f197cccf"/>
    <w:p>
      <w:pPr>
        <w:pStyle w:val="Heading2"/>
      </w:pPr>
      <w:r>
        <w:t xml:space="preserve">Background: The United States Chicago Context</w:t>
      </w:r>
    </w:p>
    <w:p>
      <w:pPr>
        <w:pStyle w:val="FirstParagraph"/>
      </w:pPr>
      <w:r>
        <w:t xml:space="preserve">The city of</w:t>
      </w:r>
      <w:r>
        <w:t xml:space="preserve"> </w:t>
      </w:r>
      <w:r>
        <w:rPr>
          <w:bCs/>
          <w:b/>
        </w:rPr>
        <w:t xml:space="preserve">United States Chicago</w:t>
      </w:r>
      <w:r>
        <w:t xml:space="preserve">, often referred to simply as Chicagoland, serves as a global hub for commerce, finance, and industry. Consequently, the legal landscape here is characterized by high volume and high stakes. The Northern District of Illinois is one of the busiest federal courts in the</w:t>
      </w:r>
      <w:r>
        <w:t xml:space="preserve"> </w:t>
      </w:r>
      <w:r>
        <w:rPr>
          <w:bCs/>
          <w:b/>
        </w:rPr>
        <w:t xml:space="preserve">United States</w:t>
      </w:r>
      <w:r>
        <w:t xml:space="preserve">. For any business operating in this region, understanding local procedural nuances is not merely an advantage; it is a necessity for survival.</w:t>
      </w:r>
    </w:p>
    <w:p>
      <w:pPr>
        <w:pStyle w:val="BodyText"/>
      </w:pPr>
      <w:r>
        <w:t xml:space="preserve">The client, "Apex Manufacturing," a mid-sized industrial firm headquartered in downtown</w:t>
      </w:r>
      <w:r>
        <w:t xml:space="preserve"> </w:t>
      </w:r>
      <w:r>
        <w:rPr>
          <w:bCs/>
          <w:b/>
        </w:rPr>
        <w:t xml:space="preserve">United States Chicago</w:t>
      </w:r>
      <w:r>
        <w:t xml:space="preserve">, faced allegations of breach of contract and tortious interference regarding a multi-million dollar supply chain agreement. The opposing party was a large conglomerate with significant resources, aiming to leverage the slow pace of litigation to force a capitulation.</w:t>
      </w:r>
    </w:p>
    <w:bookmarkEnd w:id="21"/>
    <w:bookmarkStart w:id="22" w:name="the-challenge"/>
    <w:p>
      <w:pPr>
        <w:pStyle w:val="Heading2"/>
      </w:pPr>
      <w:r>
        <w:t xml:space="preserve">The Challenge</w:t>
      </w:r>
    </w:p>
    <w:p>
      <w:pPr>
        <w:pStyle w:val="FirstParagraph"/>
      </w:pPr>
      <w:r>
        <w:t xml:space="preserve">The primary challenge for our</w:t>
      </w:r>
      <w:r>
        <w:t xml:space="preserve"> </w:t>
      </w:r>
      <w:r>
        <w:rPr>
          <w:bCs/>
          <w:b/>
        </w:rPr>
        <w:t xml:space="preserve">Lawyer</w:t>
      </w:r>
      <w:r>
        <w:t xml:space="preserve"> </w:t>
      </w:r>
      <w:r>
        <w:t xml:space="preserve">team was not just the substantive law, but the procedural warfare. In</w:t>
      </w:r>
      <w:r>
        <w:t xml:space="preserve"> </w:t>
      </w:r>
      <w:r>
        <w:rPr>
          <w:bCs/>
          <w:b/>
        </w:rPr>
        <w:t xml:space="preserve">United States Chicago</w:t>
      </w:r>
      <w:r>
        <w:t xml:space="preserve">, judges are known for their efficiency but also their strict adherence to discovery deadlines. The opposing counsel attempted to bury our client in excessive document requests, a common tactic in federal court within this jurisdiction.</w:t>
      </w:r>
    </w:p>
    <w:p>
      <w:pPr>
        <w:pStyle w:val="BodyText"/>
      </w:pPr>
      <w:r>
        <w:t xml:space="preserve">Furthermore, the</w:t>
      </w:r>
      <w:r>
        <w:t xml:space="preserve"> </w:t>
      </w:r>
      <w:r>
        <w:rPr>
          <w:bCs/>
          <w:b/>
        </w:rPr>
        <w:t xml:space="preserve">Case Study</w:t>
      </w:r>
      <w:r>
        <w:t xml:space="preserve"> </w:t>
      </w:r>
      <w:r>
        <w:t xml:space="preserve">reveals that the local judiciary has developed specific precedents regarding commercial arbitration clauses. Our</w:t>
      </w:r>
      <w:r>
        <w:t xml:space="preserve"> </w:t>
      </w:r>
      <w:r>
        <w:rPr>
          <w:bCs/>
          <w:b/>
        </w:rPr>
        <w:t xml:space="preserve">Lawyer</w:t>
      </w:r>
      <w:r>
        <w:t xml:space="preserve">s had to quickly analyze recent rulings from the Seventh Circuit Court of Appeals, which governs Illinois, Wisconsin, and Indiana. This regional specificity is crucial; a strategy that works in New York or California might fail entirely in the Northern District of Illinois.</w:t>
      </w:r>
    </w:p>
    <w:bookmarkEnd w:id="22"/>
    <w:bookmarkStart w:id="26" w:name="the-legal-strategy"/>
    <w:p>
      <w:pPr>
        <w:pStyle w:val="Heading2"/>
      </w:pPr>
      <w:r>
        <w:t xml:space="preserve">The Legal Strategy</w:t>
      </w:r>
    </w:p>
    <w:p>
      <w:pPr>
        <w:pStyle w:val="FirstParagraph"/>
      </w:pPr>
      <w:r>
        <w:t xml:space="preserve">To counter the overwhelming pressure, our</w:t>
      </w:r>
      <w:r>
        <w:t xml:space="preserve"> </w:t>
      </w:r>
      <w:r>
        <w:rPr>
          <w:bCs/>
          <w:b/>
        </w:rPr>
        <w:t xml:space="preserve">Lawyer</w:t>
      </w:r>
      <w:r>
        <w:t xml:space="preserve"> </w:t>
      </w:r>
      <w:r>
        <w:t xml:space="preserve">team devised a three-pronged defense strategy tailored specifically for the</w:t>
      </w:r>
      <w:r>
        <w:t xml:space="preserve"> </w:t>
      </w:r>
      <w:r>
        <w:rPr>
          <w:bCs/>
          <w:b/>
        </w:rPr>
        <w:t xml:space="preserve">United States Chicago</w:t>
      </w:r>
      <w:r>
        <w:t xml:space="preserve"> </w:t>
      </w:r>
      <w:r>
        <w:t xml:space="preserve">legal environment.</w:t>
      </w:r>
    </w:p>
    <w:bookmarkStart w:id="23" w:name="aggressive-discovery-management"/>
    <w:p>
      <w:pPr>
        <w:pStyle w:val="Heading3"/>
      </w:pPr>
      <w:r>
        <w:t xml:space="preserve">1. Aggressive Discovery Management</w:t>
      </w:r>
    </w:p>
    <w:p>
      <w:pPr>
        <w:pStyle w:val="FirstParagraph"/>
      </w:pPr>
      <w:r>
        <w:t xml:space="preserve">The first step involved filing a motion to limit discovery scope, citing the Federal Rules of Civil Procedure. However, simply quoting federal law was insufficient. Our</w:t>
      </w:r>
      <w:r>
        <w:t xml:space="preserve"> </w:t>
      </w:r>
      <w:r>
        <w:rPr>
          <w:bCs/>
          <w:b/>
        </w:rPr>
        <w:t xml:space="preserve">Lawyer</w:t>
      </w:r>
      <w:r>
        <w:t xml:space="preserve">s leveraged local rules specific to the Northern District of Illinois, arguing that the opposing party’s requests were unduly burdensome. By presenting data on previous similar cases in</w:t>
      </w:r>
      <w:r>
        <w:t xml:space="preserve"> </w:t>
      </w:r>
      <w:r>
        <w:rPr>
          <w:bCs/>
          <w:b/>
        </w:rPr>
        <w:t xml:space="preserve">United States Chicago</w:t>
      </w:r>
      <w:r>
        <w:t xml:space="preserve">, we demonstrated a pattern of harassment, prompting the judge to impose strict limits on document production.</w:t>
      </w:r>
    </w:p>
    <w:bookmarkEnd w:id="23"/>
    <w:bookmarkStart w:id="24" w:name="preemptive-arbitration-enforcement"/>
    <w:p>
      <w:pPr>
        <w:pStyle w:val="Heading3"/>
      </w:pPr>
      <w:r>
        <w:t xml:space="preserve">2. Preemptive Arbitration Enforcement</w:t>
      </w:r>
    </w:p>
    <w:p>
      <w:pPr>
        <w:pStyle w:val="FirstParagraph"/>
      </w:pPr>
      <w:r>
        <w:t xml:space="preserve">The contract contained an arbitration clause, but it was vaguely worded. The opposing party argued it was invalid under Illinois state law regarding consumer protection and commercial fairness. Our</w:t>
      </w:r>
      <w:r>
        <w:t xml:space="preserve"> </w:t>
      </w:r>
      <w:r>
        <w:rPr>
          <w:bCs/>
          <w:b/>
        </w:rPr>
        <w:t xml:space="preserve">Lawyer</w:t>
      </w:r>
      <w:r>
        <w:t xml:space="preserve">s conducted a deep dive into the history of arbitration enforcement in Chicago courts. They identified a pivotal 2021 ruling that upheld similar clauses in B2B contracts within the region. By anchoring our argument to this specific local precedent, we successfully moved to compel arbitration, shifting the venue from public courtrooms to private mediation.</w:t>
      </w:r>
    </w:p>
    <w:bookmarkEnd w:id="24"/>
    <w:bookmarkStart w:id="25" w:name="regional-reputation-and-negotiation"/>
    <w:p>
      <w:pPr>
        <w:pStyle w:val="Heading3"/>
      </w:pPr>
      <w:r>
        <w:t xml:space="preserve">3. Regional Reputation and Negotiation</w:t>
      </w:r>
    </w:p>
    <w:p>
      <w:pPr>
        <w:pStyle w:val="FirstParagraph"/>
      </w:pPr>
      <w:r>
        <w:t xml:space="preserve">Litigation in</w:t>
      </w:r>
      <w:r>
        <w:t xml:space="preserve"> </w:t>
      </w:r>
      <w:r>
        <w:rPr>
          <w:bCs/>
          <w:b/>
        </w:rPr>
        <w:t xml:space="preserve">United States Chicago</w:t>
      </w:r>
      <w:r>
        <w:t xml:space="preserve"> </w:t>
      </w:r>
      <w:r>
        <w:t xml:space="preserve">is highly relationship-driven. Judges and opposing counsel often interact repeatedly. Our</w:t>
      </w:r>
      <w:r>
        <w:t xml:space="preserve"> </w:t>
      </w:r>
      <w:r>
        <w:rPr>
          <w:bCs/>
          <w:b/>
        </w:rPr>
        <w:t xml:space="preserve">Lawyer</w:t>
      </w:r>
      <w:r>
        <w:t xml:space="preserve">s utilized their deep knowledge of the local bar to negotiate a settlement before arbitration began. They highlighted to the opposing general counsel that pursuing a lengthy, public trial in Chicago would expose their client’s proprietary trade secrets, which they had managed to protect through our discovery objections.</w:t>
      </w:r>
    </w:p>
    <w:bookmarkEnd w:id="25"/>
    <w:bookmarkEnd w:id="26"/>
    <w:bookmarkStart w:id="27" w:name="the-outcome"/>
    <w:p>
      <w:pPr>
        <w:pStyle w:val="Heading2"/>
      </w:pPr>
      <w:r>
        <w:t xml:space="preserve">The Outcome</w:t>
      </w:r>
    </w:p>
    <w:p>
      <w:pPr>
        <w:pStyle w:val="FirstParagraph"/>
      </w:pPr>
      <w:r>
        <w:t xml:space="preserve">The result was a resounding victory for Apex Manufacturing. The opposing conglomerate dropped all claims and agreed to pay significant legal fees as stipulated in the contract, recognizing that continued litigation in</w:t>
      </w:r>
      <w:r>
        <w:t xml:space="preserve"> </w:t>
      </w:r>
      <w:r>
        <w:rPr>
          <w:bCs/>
          <w:b/>
        </w:rPr>
        <w:t xml:space="preserve">United States Chicago</w:t>
      </w:r>
      <w:r>
        <w:t xml:space="preserve"> </w:t>
      </w:r>
      <w:r>
        <w:t xml:space="preserve">was financially unsustainable and legally risky.</w:t>
      </w:r>
    </w:p>
    <w:p>
      <w:pPr>
        <w:pStyle w:val="BodyText"/>
      </w:pPr>
      <w:r>
        <w:t xml:space="preserve">This outcome underscores the importance of hiring a</w:t>
      </w:r>
      <w:r>
        <w:t xml:space="preserve"> </w:t>
      </w:r>
      <w:r>
        <w:rPr>
          <w:bCs/>
          <w:b/>
        </w:rPr>
        <w:t xml:space="preserve">Lawyer</w:t>
      </w:r>
      <w:r>
        <w:t xml:space="preserve"> </w:t>
      </w:r>
      <w:r>
        <w:t xml:space="preserve">who does not just know the law, but understands the culture and procedural quirks of</w:t>
      </w:r>
      <w:r>
        <w:t xml:space="preserve"> </w:t>
      </w:r>
      <w:r>
        <w:rPr>
          <w:bCs/>
          <w:b/>
        </w:rPr>
        <w:t xml:space="preserve">United States Chicago</w:t>
      </w:r>
      <w:r>
        <w:t xml:space="preserve">. A generic national defense strategy would have likely failed against such a localized and resource-heavy attack.</w:t>
      </w:r>
    </w:p>
    <w:bookmarkEnd w:id="27"/>
    <w:bookmarkStart w:id="28" w:name="key-takeaways-for-legal-practitioners"/>
    <w:p>
      <w:pPr>
        <w:pStyle w:val="Heading2"/>
      </w:pPr>
      <w:r>
        <w:t xml:space="preserve">Key Takeaways for Legal Practitioners</w:t>
      </w:r>
    </w:p>
    <w:p>
      <w:pPr>
        <w:pStyle w:val="FirstParagraph"/>
      </w:pPr>
      <w:r>
        <w:t xml:space="preserve">This</w:t>
      </w:r>
      <w:r>
        <w:t xml:space="preserve"> </w:t>
      </w:r>
      <w:r>
        <w:rPr>
          <w:bCs/>
          <w:b/>
        </w:rPr>
        <w:t xml:space="preserve">Case Study</w:t>
      </w:r>
      <w:r>
        <w:t xml:space="preserve"> </w:t>
      </w:r>
      <w:r>
        <w:t xml:space="preserve">offers several critical lessons for those practicing law in the</w:t>
      </w:r>
      <w:r>
        <w:t xml:space="preserve"> </w:t>
      </w:r>
      <w:r>
        <w:rPr>
          <w:bCs/>
          <w:b/>
        </w:rPr>
        <w:t xml:space="preserve">United States Chicago</w:t>
      </w:r>
      <w:r>
        <w:t xml:space="preserve"> </w:t>
      </w:r>
      <w:r>
        <w:t xml:space="preserve">area:</w:t>
      </w:r>
    </w:p>
    <w:p>
      <w:pPr>
        <w:numPr>
          <w:ilvl w:val="0"/>
          <w:numId w:val="1001"/>
        </w:numPr>
        <w:pStyle w:val="Compact"/>
      </w:pPr>
      <w:r>
        <w:rPr>
          <w:bCs/>
          <w:b/>
        </w:rPr>
        <w:t xml:space="preserve">Jurisdictional Specificity is Paramount:</w:t>
      </w:r>
      <w:r>
        <w:t xml:space="preserve"> </w:t>
      </w:r>
      <w:r>
        <w:t xml:space="preserve">Federal law provides the framework, but local rules and regional circuit precedents dictate the outcome. A</w:t>
      </w:r>
      <w:r>
        <w:t xml:space="preserve"> </w:t>
      </w:r>
      <w:r>
        <w:rPr>
          <w:bCs/>
          <w:b/>
        </w:rPr>
        <w:t xml:space="preserve">Lawyer</w:t>
      </w:r>
      <w:r>
        <w:t xml:space="preserve"> </w:t>
      </w:r>
      <w:r>
        <w:t xml:space="preserve">must be intimately familiar with the Seventh Circuit’s interpretation of federal statutes.</w:t>
      </w:r>
    </w:p>
    <w:p>
      <w:pPr>
        <w:numPr>
          <w:ilvl w:val="0"/>
          <w:numId w:val="1001"/>
        </w:numPr>
        <w:pStyle w:val="Compact"/>
      </w:pPr>
      <w:r>
        <w:rPr>
          <w:bCs/>
          <w:b/>
        </w:rPr>
        <w:t xml:space="preserve">Leverage Local Relationships:</w:t>
      </w:r>
      <w:r>
        <w:t xml:space="preserve"> </w:t>
      </w:r>
      <w:r>
        <w:t xml:space="preserve">In</w:t>
      </w:r>
      <w:r>
        <w:t xml:space="preserve"> </w:t>
      </w:r>
      <w:r>
        <w:rPr>
          <w:bCs/>
          <w:b/>
        </w:rPr>
        <w:t xml:space="preserve">United States Chicago</w:t>
      </w:r>
      <w:r>
        <w:t xml:space="preserve">, the legal community is interconnected. Professionalism and strategic negotiation often yield better results than aggressive posturing that ignores local norms.</w:t>
      </w:r>
    </w:p>
    <w:p>
      <w:pPr>
        <w:numPr>
          <w:ilvl w:val="0"/>
          <w:numId w:val="1001"/>
        </w:numPr>
        <w:pStyle w:val="Compact"/>
      </w:pPr>
      <w:r>
        <w:rPr>
          <w:bCs/>
          <w:b/>
        </w:rPr>
        <w:t xml:space="preserve">Data-Driven Defense:</w:t>
      </w:r>
      <w:r>
        <w:t xml:space="preserve"> </w:t>
      </w:r>
      <w:r>
        <w:t xml:space="preserve">Using data from previous cases in the region to argue for procedural limits is highly effective. Judges appreciate efficiency and are more likely to grant motions that reduce their docket burden.</w:t>
      </w:r>
    </w:p>
    <w:bookmarkEnd w:id="28"/>
    <w:bookmarkStart w:id="29" w:name="conclusion"/>
    <w:p>
      <w:pPr>
        <w:pStyle w:val="Heading2"/>
      </w:pPr>
      <w:r>
        <w:t xml:space="preserve">Conclusion</w:t>
      </w:r>
    </w:p>
    <w:p>
      <w:pPr>
        <w:pStyle w:val="FirstParagraph"/>
      </w:pPr>
      <w:r>
        <w:t xml:space="preserve">The defense of Apex Manufacturing stands as a testament to the power of specialized, locality-aware legal representation. In the bustling legal ecosystem of</w:t>
      </w:r>
      <w:r>
        <w:t xml:space="preserve"> </w:t>
      </w:r>
      <w:r>
        <w:rPr>
          <w:bCs/>
          <w:b/>
        </w:rPr>
        <w:t xml:space="preserve">United States Chicago</w:t>
      </w:r>
      <w:r>
        <w:t xml:space="preserve">, success requires more than just legal knowledge; it demands strategic agility and a deep understanding of local judicial trends. This</w:t>
      </w:r>
      <w:r>
        <w:t xml:space="preserve"> </w:t>
      </w:r>
      <w:r>
        <w:rPr>
          <w:bCs/>
          <w:b/>
        </w:rPr>
        <w:t xml:space="preserve">Case Study</w:t>
      </w:r>
      <w:r>
        <w:t xml:space="preserve"> </w:t>
      </w:r>
      <w:r>
        <w:t xml:space="preserve">demonstrates that when a skilled</w:t>
      </w:r>
      <w:r>
        <w:t xml:space="preserve"> </w:t>
      </w:r>
      <w:r>
        <w:rPr>
          <w:bCs/>
          <w:b/>
        </w:rPr>
        <w:t xml:space="preserve">Lawyer</w:t>
      </w:r>
      <w:r>
        <w:t xml:space="preserve"> </w:t>
      </w:r>
      <w:r>
        <w:t xml:space="preserve">combines robust legal arguments with nuanced regional expertise, even the most daunting challenges in the heart of America’s commercial capital can be overcome.</w:t>
      </w:r>
    </w:p>
    <w:p>
      <w:pPr>
        <w:pStyle w:val="BodyText"/>
      </w:pPr>
      <w:r>
        <w:t xml:space="preserve">For businesses operating in Illinois, this document serves as a reminder that choosing legal counsel is not just about finding a</w:t>
      </w:r>
      <w:r>
        <w:t xml:space="preserve"> </w:t>
      </w:r>
      <w:r>
        <w:rPr>
          <w:bCs/>
          <w:b/>
        </w:rPr>
        <w:t xml:space="preserve">Lawyer</w:t>
      </w:r>
      <w:r>
        <w:t xml:space="preserve">, but finding a partner who understands the unique pulse of</w:t>
      </w:r>
      <w:r>
        <w:t xml:space="preserve"> </w:t>
      </w:r>
      <w:r>
        <w:rPr>
          <w:bCs/>
          <w:b/>
        </w:rPr>
        <w:t xml:space="preserve">United States Chicago</w:t>
      </w:r>
      <w:r>
        <w:t xml:space="preserve"> </w:t>
      </w:r>
      <w:r>
        <w:t xml:space="preserve">litigation.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Legal Excellence in the Windy City</dc:title>
  <dc:creator/>
  <dc:language>en</dc:language>
  <cp:keywords/>
  <dcterms:created xsi:type="dcterms:W3CDTF">2026-07-29T11:44:16Z</dcterms:created>
  <dcterms:modified xsi:type="dcterms:W3CDTF">2026-07-29T11:44:16Z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