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Legal</w:t>
      </w:r>
      <w:r>
        <w:t xml:space="preserve"> </w:t>
      </w:r>
      <w:r>
        <w:t xml:space="preserve">Representation</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30e363cb33369460cf48dc0601919741d8a50e4"/>
    <w:p>
      <w:pPr>
        <w:pStyle w:val="Heading1"/>
      </w:pPr>
      <w:r>
        <w:t xml:space="preserve">A Deep Dive into Complex Commercial Litigation: A Case Study of Legal Excellence in United States Houston</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United States Houston, Texas</w:t>
      </w:r>
      <w:r>
        <w:br/>
      </w:r>
      <w:r>
        <w:rPr>
          <w:bCs/>
          <w:b/>
        </w:rPr>
        <w:t xml:space="preserve">Firm Profile:</w:t>
      </w:r>
      <w:r>
        <w:t xml:space="preserve"> </w:t>
      </w:r>
      <w:r>
        <w:t xml:space="preserve">Apex Corporate Law Group</w:t>
      </w:r>
    </w:p>
    <w:p>
      <w:pPr>
        <w:pStyle w:val="BodyText"/>
      </w:pPr>
      <w:r>
        <w:t xml:space="preserve">Executive Summary</w:t>
      </w:r>
    </w:p>
    <w:p>
      <w:pPr>
        <w:pStyle w:val="BodyText"/>
      </w:pPr>
      <w:r>
        <w:t xml:space="preserve">The city of</w:t>
      </w:r>
      <w:r>
        <w:t xml:space="preserve"> </w:t>
      </w:r>
      <w:r>
        <w:rPr>
          <w:bCs/>
          <w:b/>
        </w:rPr>
        <w:t xml:space="preserve">Houston</w:t>
      </w:r>
      <w:r>
        <w:t xml:space="preserve">, located in the state of Texas within the</w:t>
      </w:r>
      <w:r>
        <w:t xml:space="preserve"> </w:t>
      </w:r>
      <w:r>
        <w:rPr>
          <w:bCs/>
          <w:b/>
        </w:rPr>
        <w:t xml:space="preserve">United States</w:t>
      </w:r>
      <w:r>
        <w:t xml:space="preserve">, stands as a global epicenter for energy, healthcare, and international trade. Consequently, the legal landscape in this metropolis is characterized by high-stakes commercial disputes, intricate regulatory challenges involving federal and state authorities, and complex cross-border transactions. This</w:t>
      </w:r>
      <w:r>
        <w:t xml:space="preserve"> </w:t>
      </w:r>
      <w:r>
        <w:rPr>
          <w:bCs/>
          <w:b/>
        </w:rPr>
        <w:t xml:space="preserve">Case Study</w:t>
      </w:r>
      <w:r>
        <w:t xml:space="preserve"> </w:t>
      </w:r>
      <w:r>
        <w:t xml:space="preserve">examines how a specialized team of</w:t>
      </w:r>
      <w:r>
        <w:t xml:space="preserve"> </w:t>
      </w:r>
      <w:r>
        <w:rPr>
          <w:bCs/>
          <w:b/>
        </w:rPr>
        <w:t xml:space="preserve">Lawyer</w:t>
      </w:r>
      <w:r>
        <w:t xml:space="preserve">s navigated a multifaceted breach of contract dispute within the energy sector in</w:t>
      </w:r>
      <w:r>
        <w:t xml:space="preserve"> </w:t>
      </w:r>
      <w:r>
        <w:rPr>
          <w:bCs/>
          <w:b/>
        </w:rPr>
        <w:t xml:space="preserve">Houston</w:t>
      </w:r>
      <w:r>
        <w:t xml:space="preserve">. The objective is to illustrate the strategic depth required when practicing law in one of the most competitive business hubs in the</w:t>
      </w:r>
      <w:r>
        <w:t xml:space="preserve"> </w:t>
      </w:r>
      <w:r>
        <w:rPr>
          <w:bCs/>
          <w:b/>
        </w:rPr>
        <w:t xml:space="preserve">United States</w:t>
      </w:r>
      <w:r>
        <w:t xml:space="preserve">.</w:t>
      </w:r>
    </w:p>
    <w:bookmarkStart w:id="20" w:name="X1f618a964aef997b9a633d585757b04fc07c312"/>
    <w:p>
      <w:pPr>
        <w:pStyle w:val="Heading2"/>
      </w:pPr>
      <w:r>
        <w:t xml:space="preserve">I. Background and Context: The Houston Energy Sector</w:t>
      </w:r>
    </w:p>
    <w:p>
      <w:pPr>
        <w:pStyle w:val="FirstParagraph"/>
      </w:pPr>
      <w:r>
        <w:rPr>
          <w:bCs/>
          <w:b/>
        </w:rPr>
        <w:t xml:space="preserve">Houston</w:t>
      </w:r>
      <w:r>
        <w:t xml:space="preserve"> </w:t>
      </w:r>
      <w:r>
        <w:t xml:space="preserve">is not merely a city; it is a logistical and economic engine for North America. For any professional seeking to understand modern legal practice, one must look no further than the dynamic environment of</w:t>
      </w:r>
      <w:r>
        <w:t xml:space="preserve"> </w:t>
      </w:r>
      <w:r>
        <w:rPr>
          <w:bCs/>
          <w:b/>
        </w:rPr>
        <w:t xml:space="preserve">Houston United States</w:t>
      </w:r>
      <w:r>
        <w:t xml:space="preserve">. In this region, speed, precision, and an intimate understanding of local judicial precedents are paramount. The parties involved in this</w:t>
      </w:r>
      <w:r>
        <w:t xml:space="preserve"> </w:t>
      </w:r>
      <w:r>
        <w:rPr>
          <w:bCs/>
          <w:b/>
        </w:rPr>
        <w:t xml:space="preserve">Case Study</w:t>
      </w:r>
      <w:r>
        <w:t xml:space="preserve"> </w:t>
      </w:r>
      <w:r>
        <w:t xml:space="preserve">were two major entities: a large multinational energy conglomerate based in downtown</w:t>
      </w:r>
      <w:r>
        <w:t xml:space="preserve"> </w:t>
      </w:r>
      <w:r>
        <w:rPr>
          <w:iCs/>
          <w:i/>
        </w:rPr>
        <w:t xml:space="preserve">Houston</w:t>
      </w:r>
      <w:r>
        <w:t xml:space="preserve">, and a mid-sized independent oil service provider operating throughout the Gulf Coast.</w:t>
      </w:r>
    </w:p>
    <w:p>
      <w:pPr>
        <w:pStyle w:val="BodyText"/>
      </w:pPr>
      <w:r>
        <w:t xml:space="preserve">The dispute arose from a five-year service agreement signed in early 2019. The contract stipulated specific performance metrics regarding drilling efficiency and safety compliance. However, by late 2021, market volatility caused by global supply chain disruptions led to significant delays in project completion. The energy conglomerate claimed that the service provider had breached key clauses of the contract, resulting in millions of dollars in lost revenue. Conversely, the service provider argued that force majeure conditions and unforeseen regulatory changes imposed by federal agencies constituted a valid defense against performance obligations.</w:t>
      </w:r>
    </w:p>
    <w:p>
      <w:pPr>
        <w:pStyle w:val="BodyText"/>
      </w:pPr>
      <w:r>
        <w:t xml:space="preserve">This scenario highlights why hiring a skilled</w:t>
      </w:r>
      <w:r>
        <w:t xml:space="preserve"> </w:t>
      </w:r>
      <w:r>
        <w:rPr>
          <w:bCs/>
          <w:b/>
        </w:rPr>
        <w:t xml:space="preserve">Lawyer</w:t>
      </w:r>
      <w:r>
        <w:t xml:space="preserve"> </w:t>
      </w:r>
      <w:r>
        <w:t xml:space="preserve">is critical in</w:t>
      </w:r>
      <w:r>
        <w:t xml:space="preserve"> </w:t>
      </w:r>
      <w:r>
        <w:rPr>
          <w:iCs/>
          <w:i/>
        </w:rPr>
        <w:t xml:space="preserve">Houston</w:t>
      </w:r>
      <w:r>
        <w:t xml:space="preserve">. The intersection of state contract law and federal energy regulations creates a unique legal labyrinth that requires expert navigation. In the</w:t>
      </w:r>
      <w:r>
        <w:t xml:space="preserve"> </w:t>
      </w:r>
      <w:r>
        <w:rPr>
          <w:bCs/>
          <w:b/>
        </w:rPr>
        <w:t xml:space="preserve">United States</w:t>
      </w:r>
      <w:r>
        <w:t xml:space="preserve">, particularly in states like Texas, the legal system favors robust contractual enforcement, yet allows for nuanced interpretations when external factors intervene.</w:t>
      </w:r>
    </w:p>
    <w:bookmarkEnd w:id="20"/>
    <w:bookmarkStart w:id="23" w:name="ii.-the-legal-challenge"/>
    <w:p>
      <w:pPr>
        <w:pStyle w:val="Heading2"/>
      </w:pPr>
      <w:r>
        <w:t xml:space="preserve">II. The Legal Challenge</w:t>
      </w:r>
    </w:p>
    <w:p>
      <w:pPr>
        <w:pStyle w:val="FirstParagraph"/>
      </w:pPr>
      <w:r>
        <w:t xml:space="preserve">The core of this</w:t>
      </w:r>
      <w:r>
        <w:t xml:space="preserve"> </w:t>
      </w:r>
      <w:r>
        <w:rPr>
          <w:bCs/>
          <w:b/>
        </w:rPr>
        <w:t xml:space="preserve">Case Study</w:t>
      </w:r>
      <w:r>
        <w:t xml:space="preserve"> </w:t>
      </w:r>
      <w:r>
        <w:t xml:space="preserve">revolves around the complexity of proving causation and liability. The energy conglomerate sought $45 million in damages, citing specific instances where drilling operations halted due to alleged negligence by the service provider. However, the defense team, comprised of veteran</w:t>
      </w:r>
      <w:r>
        <w:t xml:space="preserve"> </w:t>
      </w:r>
      <w:r>
        <w:rPr>
          <w:bCs/>
          <w:b/>
        </w:rPr>
        <w:t xml:space="preserve">Lawyer</w:t>
      </w:r>
      <w:r>
        <w:t xml:space="preserve">s specializing in commercial litigation in</w:t>
      </w:r>
      <w:r>
        <w:t xml:space="preserve"> </w:t>
      </w:r>
      <w:r>
        <w:rPr>
          <w:iCs/>
          <w:i/>
        </w:rPr>
        <w:t xml:space="preserve">Houston</w:t>
      </w:r>
      <w:r>
        <w:t xml:space="preserve">, identified several critical weaknesses in the plaintiff’s argument.</w:t>
      </w:r>
    </w:p>
    <w:bookmarkStart w:id="21" w:name="a.-jurisdictional-and-regulatory-nuances"/>
    <w:p>
      <w:pPr>
        <w:pStyle w:val="Heading3"/>
      </w:pPr>
      <w:r>
        <w:t xml:space="preserve">A. Jurisdictional and Regulatory Nuances</w:t>
      </w:r>
    </w:p>
    <w:p>
      <w:pPr>
        <w:pStyle w:val="FirstParagraph"/>
      </w:pPr>
      <w:r>
        <w:t xml:space="preserve">The first hurdle was jurisdictional. While the contract specified arbitration, certain claims involved violations of Texas state labor laws and federal environmental statutes. This dual-layered complexity required the</w:t>
      </w:r>
      <w:r>
        <w:t xml:space="preserve"> </w:t>
      </w:r>
      <w:r>
        <w:rPr>
          <w:bCs/>
          <w:b/>
        </w:rPr>
        <w:t xml:space="preserve">Lawyer</w:t>
      </w:r>
      <w:r>
        <w:t xml:space="preserve">s to file motions that addressed both state court procedures and federal agency compliance records. In</w:t>
      </w:r>
      <w:r>
        <w:t xml:space="preserve"> </w:t>
      </w:r>
      <w:r>
        <w:rPr>
          <w:iCs/>
          <w:i/>
        </w:rPr>
        <w:t xml:space="preserve">Houston</w:t>
      </w:r>
      <w:r>
        <w:t xml:space="preserve">, judges are well-versed in energy sector specifics, meaning that arguments had to be technically sound as well as legally robust.</w:t>
      </w:r>
    </w:p>
    <w:bookmarkEnd w:id="21"/>
    <w:bookmarkStart w:id="22" w:name="b.-the-force-majeure-defense"/>
    <w:p>
      <w:pPr>
        <w:pStyle w:val="Heading3"/>
      </w:pPr>
      <w:r>
        <w:t xml:space="preserve">B. The Force Majeure Defense</w:t>
      </w:r>
    </w:p>
    <w:p>
      <w:pPr>
        <w:pStyle w:val="FirstParagraph"/>
      </w:pPr>
      <w:r>
        <w:t xml:space="preserve">A central pillar of the defense was the invocation of force majeure clauses. The</w:t>
      </w:r>
      <w:r>
        <w:t xml:space="preserve"> </w:t>
      </w:r>
      <w:r>
        <w:rPr>
          <w:bCs/>
          <w:b/>
        </w:rPr>
        <w:t xml:space="preserve">Lawyer</w:t>
      </w:r>
      <w:r>
        <w:t xml:space="preserve">s gathered extensive data from Houston meteorological records and federal shipping logs to demonstrate that supply chain delays were not due to negligence but rather global events beyond reasonable control. This required meticulous documentation, a hallmark of effective legal practice in the</w:t>
      </w:r>
      <w:r>
        <w:t xml:space="preserve"> </w:t>
      </w:r>
      <w:r>
        <w:rPr>
          <w:iCs/>
          <w:i/>
        </w:rPr>
        <w:t xml:space="preserve">United States</w:t>
      </w:r>
      <w:r>
        <w:t xml:space="preserve">.</w:t>
      </w:r>
    </w:p>
    <w:bookmarkEnd w:id="22"/>
    <w:bookmarkEnd w:id="23"/>
    <w:bookmarkStart w:id="24" w:name="X9a41e135aa649c696f23181a7a37e2d3d6a46a0"/>
    <w:p>
      <w:pPr>
        <w:pStyle w:val="Heading2"/>
      </w:pPr>
      <w:r>
        <w:t xml:space="preserve">III. Strategic Approach by the Legal Team</w:t>
      </w:r>
    </w:p>
    <w:p>
      <w:pPr>
        <w:pStyle w:val="FirstParagraph"/>
      </w:pPr>
      <w:r>
        <w:t xml:space="preserve">The success of this case hinged on a strategic approach tailored specifically to the judicial culture of</w:t>
      </w:r>
      <w:r>
        <w:t xml:space="preserve"> </w:t>
      </w:r>
      <w:r>
        <w:rPr>
          <w:bCs/>
          <w:b/>
        </w:rPr>
        <w:t xml:space="preserve">Houston United States</w:t>
      </w:r>
      <w:r>
        <w:t xml:space="preserve">. The team adopted a three-pronged strategy:</w:t>
      </w:r>
    </w:p>
    <w:p>
      <w:pPr>
        <w:numPr>
          <w:ilvl w:val="0"/>
          <w:numId w:val="1001"/>
        </w:numPr>
        <w:pStyle w:val="Compact"/>
      </w:pPr>
      <w:r>
        <w:rPr>
          <w:bCs/>
          <w:b/>
        </w:rPr>
        <w:t xml:space="preserve">Detailed Fact-Checking and Expert Witness Selection:</w:t>
      </w:r>
      <w:r>
        <w:t xml:space="preserve"> </w:t>
      </w:r>
      <w:r>
        <w:t xml:space="preserve">The</w:t>
      </w:r>
      <w:r>
        <w:t xml:space="preserve"> </w:t>
      </w:r>
      <w:r>
        <w:rPr>
          <w:bCs/>
          <w:b/>
        </w:rPr>
        <w:t xml:space="preserve">Lawyer</w:t>
      </w:r>
      <w:r>
        <w:t xml:space="preserve">s retained independent engineering experts to audit the drilling logs. These experts testified that the delays were consistent with industry-wide standards during that period, rather than indicative of poor performance.</w:t>
      </w:r>
    </w:p>
    <w:p>
      <w:pPr>
        <w:numPr>
          <w:ilvl w:val="0"/>
          <w:numId w:val="1001"/>
        </w:numPr>
        <w:pStyle w:val="Compact"/>
      </w:pPr>
      <w:r>
        <w:rPr>
          <w:bCs/>
          <w:b/>
        </w:rPr>
        <w:t xml:space="preserve">Negotiation Leverage through Discovery:</w:t>
      </w:r>
      <w:r>
        <w:t xml:space="preserve"> </w:t>
      </w:r>
      <w:r>
        <w:t xml:space="preserve">During the discovery phase in</w:t>
      </w:r>
      <w:r>
        <w:t xml:space="preserve"> </w:t>
      </w:r>
      <w:r>
        <w:rPr>
          <w:iCs/>
          <w:i/>
        </w:rPr>
        <w:t xml:space="preserve">Houston</w:t>
      </w:r>
      <w:r>
        <w:t xml:space="preserve">, the defense uncovered communications suggesting that the plaintiff had also failed to provide timely access to certain sites, contributing to the delays. This shift in narrative significantly weakened the plaintiff’s position for damages.</w:t>
      </w:r>
    </w:p>
    <w:p>
      <w:pPr>
        <w:numPr>
          <w:ilvl w:val="0"/>
          <w:numId w:val="1001"/>
        </w:numPr>
        <w:pStyle w:val="Compact"/>
      </w:pPr>
      <w:r>
        <w:rPr>
          <w:bCs/>
          <w:b/>
        </w:rPr>
        <w:t xml:space="preserve">Arbitration Mediation:</w:t>
      </w:r>
      <w:r>
        <w:t xml:space="preserve"> </w:t>
      </w:r>
      <w:r>
        <w:t xml:space="preserve">Recognizing that prolonged litigation in</w:t>
      </w:r>
      <w:r>
        <w:t xml:space="preserve"> </w:t>
      </w:r>
      <w:r>
        <w:rPr>
          <w:bCs/>
          <w:b/>
        </w:rPr>
        <w:t xml:space="preserve">Houston</w:t>
      </w:r>
      <w:r>
        <w:t xml:space="preserve">'s courts could be costly and unpredictable, the</w:t>
      </w:r>
      <w:r>
        <w:t xml:space="preserve"> </w:t>
      </w:r>
      <w:r>
        <w:rPr>
          <w:bCs/>
          <w:b/>
        </w:rPr>
        <w:t xml:space="preserve">Lawyer</w:t>
      </w:r>
      <w:r>
        <w:t xml:space="preserve">s pushed for a mediated settlement. They utilized the evidence gathered during discovery to demonstrate the likely failure of the plaintiff’s case at arbitration.</w:t>
      </w:r>
    </w:p>
    <w:p>
      <w:pPr>
        <w:pStyle w:val="FirstParagraph"/>
      </w:pPr>
      <w:r>
        <w:t xml:space="preserve">"In</w:t>
      </w:r>
      <w:r>
        <w:t xml:space="preserve"> </w:t>
      </w:r>
      <w:r>
        <w:rPr>
          <w:iCs/>
          <w:i/>
        </w:rPr>
        <w:t xml:space="preserve">Houston</w:t>
      </w:r>
      <w:r>
        <w:t xml:space="preserve">, legal battles are often won in boardrooms before they reach courtrooms. Our strategy focused on demonstrating to our clients that a swift resolution was financially superior to a protracted legal war." — Senior Partner, Apex Corporate Law Group.</w:t>
      </w:r>
    </w:p>
    <w:bookmarkEnd w:id="24"/>
    <w:bookmarkStart w:id="25" w:name="iv.-the-outcome-and-resolution"/>
    <w:p>
      <w:pPr>
        <w:pStyle w:val="Heading2"/>
      </w:pPr>
      <w:r>
        <w:t xml:space="preserve">IV. The Outcome and Resolution</w:t>
      </w:r>
    </w:p>
    <w:p>
      <w:pPr>
        <w:pStyle w:val="FirstParagraph"/>
      </w:pPr>
      <w:r>
        <w:t xml:space="preserve">The</w:t>
      </w:r>
      <w:r>
        <w:t xml:space="preserve"> </w:t>
      </w:r>
      <w:r>
        <w:rPr>
          <w:bCs/>
          <w:b/>
        </w:rPr>
        <w:t xml:space="preserve">Case Study</w:t>
      </w:r>
      <w:r>
        <w:t xml:space="preserve"> </w:t>
      </w:r>
      <w:r>
        <w:t xml:space="preserve">concludes with a settlement reached three months prior to the scheduled arbitration hearing. Under the terms of the agreement, which was overseen by experienced mediators in</w:t>
      </w:r>
      <w:r>
        <w:t xml:space="preserve"> </w:t>
      </w:r>
      <w:r>
        <w:rPr>
          <w:iCs/>
          <w:i/>
        </w:rPr>
        <w:t xml:space="preserve">Houston</w:t>
      </w:r>
      <w:r>
        <w:t xml:space="preserve">, both parties agreed to dismiss all pending claims against each other. The energy conglomerate withdrew its $45 million demand, and the service provider agreed to a modest adjustment in future contract terms rather than paying any cash damages.</w:t>
      </w:r>
    </w:p>
    <w:p>
      <w:pPr>
        <w:pStyle w:val="BodyText"/>
      </w:pPr>
      <w:r>
        <w:t xml:space="preserve">This outcome underscores the value of strategic legal representation. For the clients involved, this result preserved business relationships that are vital in the tight-knit network of</w:t>
      </w:r>
      <w:r>
        <w:t xml:space="preserve"> </w:t>
      </w:r>
      <w:r>
        <w:rPr>
          <w:bCs/>
          <w:b/>
        </w:rPr>
        <w:t xml:space="preserve">Houston</w:t>
      </w:r>
      <w:r>
        <w:t xml:space="preserve">'s energy industry. It also demonstrated how a skilled</w:t>
      </w:r>
      <w:r>
        <w:t xml:space="preserve"> </w:t>
      </w:r>
      <w:r>
        <w:rPr>
          <w:bCs/>
          <w:b/>
        </w:rPr>
        <w:t xml:space="preserve">Lawyer</w:t>
      </w:r>
      <w:r>
        <w:t xml:space="preserve"> </w:t>
      </w:r>
      <w:r>
        <w:t xml:space="preserve">can mitigate risk and protect assets without engaging in destructive litigation.</w:t>
      </w:r>
    </w:p>
    <w:bookmarkEnd w:id="25"/>
    <w:bookmarkStart w:id="26" w:name="Xeb72665f4f8afe7378bf7ee27a9622e5431507e"/>
    <w:p>
      <w:pPr>
        <w:pStyle w:val="Heading2"/>
      </w:pPr>
      <w:r>
        <w:t xml:space="preserve">V. Lessons Learned for Legal Practitioners in United States Houston</w:t>
      </w:r>
    </w:p>
    <w:p>
      <w:pPr>
        <w:pStyle w:val="FirstParagraph"/>
      </w:pPr>
      <w:r>
        <w:t xml:space="preserve">This</w:t>
      </w:r>
      <w:r>
        <w:t xml:space="preserve"> </w:t>
      </w:r>
      <w:r>
        <w:rPr>
          <w:bCs/>
          <w:b/>
        </w:rPr>
        <w:t xml:space="preserve">Case Study</w:t>
      </w:r>
      <w:r>
        <w:t xml:space="preserve"> </w:t>
      </w:r>
      <w:r>
        <w:t xml:space="preserve">offers several key takeaways for legal professionals operating in the</w:t>
      </w:r>
      <w:r>
        <w:t xml:space="preserve"> </w:t>
      </w:r>
      <w:r>
        <w:rPr>
          <w:iCs/>
          <w:i/>
        </w:rPr>
        <w:t xml:space="preserve">Houston United States</w:t>
      </w:r>
      <w:r>
        <w:rPr>
          <w:bCs/>
          <w:b/>
        </w:rPr>
        <w:t xml:space="preserve">:</w:t>
      </w:r>
    </w:p>
    <w:p>
      <w:pPr>
        <w:numPr>
          <w:ilvl w:val="0"/>
          <w:numId w:val="1002"/>
        </w:numPr>
        <w:pStyle w:val="Compact"/>
      </w:pPr>
      <w:r>
        <w:rPr>
          <w:bCs/>
          <w:b/>
        </w:rPr>
        <w:t xml:space="preserve">Local Knowledge is Power:</w:t>
      </w:r>
      <w:r>
        <w:t xml:space="preserve"> </w:t>
      </w:r>
      <w:r>
        <w:t xml:space="preserve">Understanding the specific judicial tendencies of Harris County and federal courts in</w:t>
      </w:r>
      <w:r>
        <w:t xml:space="preserve"> </w:t>
      </w:r>
      <w:r>
        <w:rPr>
          <w:iCs/>
          <w:i/>
        </w:rPr>
        <w:t xml:space="preserve">Houston</w:t>
      </w:r>
      <w:r>
        <w:t xml:space="preserve"> </w:t>
      </w:r>
      <w:r>
        <w:t xml:space="preserve">allows a</w:t>
      </w:r>
      <w:r>
        <w:t xml:space="preserve"> </w:t>
      </w:r>
      <w:r>
        <w:rPr>
          <w:bCs/>
          <w:b/>
        </w:rPr>
        <w:t xml:space="preserve">Lawyer</w:t>
      </w:r>
      <w:r>
        <w:t xml:space="preserve">s to predict procedural hurdles more accurately.</w:t>
      </w:r>
    </w:p>
    <w:p>
      <w:pPr>
        <w:numPr>
          <w:ilvl w:val="0"/>
          <w:numId w:val="1002"/>
        </w:numPr>
        <w:pStyle w:val="Compact"/>
      </w:pPr>
      <w:r>
        <w:rPr>
          <w:bCs/>
          <w:b/>
        </w:rPr>
        <w:t xml:space="preserve">Digital Evidence Management:</w:t>
      </w:r>
      <w:r>
        <w:t xml:space="preserve"> </w:t>
      </w:r>
      <w:r>
        <w:t xml:space="preserve">In an era where data drives decisions, the ability to quickly analyze digital records was crucial for proving force majeure.</w:t>
      </w:r>
    </w:p>
    <w:p>
      <w:pPr>
        <w:numPr>
          <w:ilvl w:val="0"/>
          <w:numId w:val="1002"/>
        </w:numPr>
        <w:pStyle w:val="Compact"/>
      </w:pPr>
      <w:r>
        <w:rPr>
          <w:bCs/>
          <w:b/>
        </w:rPr>
        <w:t xml:space="preserve">Negotiation over Litigation:</w:t>
      </w:r>
      <w:r>
        <w:t xml:space="preserve"> </w:t>
      </w:r>
      <w:r>
        <w:t xml:space="preserve">The business community in</w:t>
      </w:r>
      <w:r>
        <w:t xml:space="preserve"> </w:t>
      </w:r>
      <w:r>
        <w:rPr>
          <w:iCs/>
          <w:i/>
        </w:rPr>
        <w:t xml:space="preserve">Houston</w:t>
      </w:r>
      <w:r>
        <w:t xml:space="preserve">, particularly in the energy and healthcare sectors, often prefers confidentiality and speed. A</w:t>
      </w:r>
      <w:r>
        <w:t xml:space="preserve"> </w:t>
      </w:r>
      <w:r>
        <w:rPr>
          <w:bCs/>
          <w:b/>
        </w:rPr>
        <w:t xml:space="preserve">Lawyer</w:t>
      </w:r>
      <w:r>
        <w:t xml:space="preserve">s who can facilitate a clean exit from disputes adds immense value to their clients.</w:t>
      </w:r>
    </w:p>
    <w:p>
      <w:pPr>
        <w:numPr>
          <w:ilvl w:val="0"/>
          <w:numId w:val="1002"/>
        </w:numPr>
        <w:pStyle w:val="Compact"/>
      </w:pPr>
      <w:r>
        <w:rPr>
          <w:bCs/>
          <w:b/>
        </w:rPr>
        <w:t xml:space="preserve">Cross-Disciplinary Expertise:</w:t>
      </w:r>
      <w:r>
        <w:t xml:space="preserve"> </w:t>
      </w:r>
      <w:r>
        <w:t xml:space="preserve">The most effective</w:t>
      </w:r>
      <w:r>
        <w:t xml:space="preserve"> </w:t>
      </w:r>
      <w:r>
        <w:rPr>
          <w:bCs/>
          <w:b/>
        </w:rPr>
        <w:t xml:space="preserve">Lawyer</w:t>
      </w:r>
      <w:r>
        <w:t xml:space="preserve">s in this jurisdiction do not just know the law; they understand the industries they serve. In</w:t>
      </w:r>
      <w:r>
        <w:t xml:space="preserve"> </w:t>
      </w:r>
      <w:r>
        <w:rPr>
          <w:iCs/>
          <w:i/>
        </w:rPr>
        <w:t xml:space="preserve">Houston</w:t>
      </w:r>
      <w:r>
        <w:t xml:space="preserve">, that often means understanding oil, gas, medical devices, or aerospace.</w:t>
      </w:r>
    </w:p>
    <w:bookmarkEnd w:id="26"/>
    <w:bookmarkStart w:id="27" w:name="vi.-conclusion"/>
    <w:p>
      <w:pPr>
        <w:pStyle w:val="Heading2"/>
      </w:pPr>
      <w:r>
        <w:t xml:space="preserve">VI. Conclusion</w:t>
      </w:r>
    </w:p>
    <w:p>
      <w:pPr>
        <w:pStyle w:val="FirstParagraph"/>
      </w:pPr>
      <w:r>
        <w:t xml:space="preserve">The complexity of modern commercial disputes demands more than just theoretical knowledge of statutes; it requires practical wisdom and regional expertise. This</w:t>
      </w:r>
      <w:r>
        <w:t xml:space="preserve"> </w:t>
      </w:r>
      <w:r>
        <w:rPr>
          <w:bCs/>
          <w:b/>
        </w:rPr>
        <w:t xml:space="preserve">Case Study</w:t>
      </w:r>
      <w:r>
        <w:t xml:space="preserve"> </w:t>
      </w:r>
      <w:r>
        <w:t xml:space="preserve">illustrates how a dedicated team of</w:t>
      </w:r>
      <w:r>
        <w:t xml:space="preserve"> </w:t>
      </w:r>
      <w:r>
        <w:rPr>
          <w:bCs/>
          <w:b/>
        </w:rPr>
        <w:t xml:space="preserve">Lawyer</w:t>
      </w:r>
      <w:r>
        <w:t xml:space="preserve">s successfully navigated a high-stakes conflict in the vibrant legal ecosystem of</w:t>
      </w:r>
      <w:r>
        <w:t xml:space="preserve"> </w:t>
      </w:r>
      <w:r>
        <w:rPr>
          <w:iCs/>
          <w:i/>
        </w:rPr>
        <w:t xml:space="preserve">Houston United States</w:t>
      </w:r>
      <w:r>
        <w:t xml:space="preserve">. By leveraging local insights, rigorous evidence gathering, and strategic negotiation, they achieved a favorable outcome for their clients.</w:t>
      </w:r>
    </w:p>
    <w:p>
      <w:pPr>
        <w:pStyle w:val="BodyText"/>
      </w:pPr>
      <w:r>
        <w:t xml:space="preserve">In conclusion, the practice of law in</w:t>
      </w:r>
      <w:r>
        <w:t xml:space="preserve"> </w:t>
      </w:r>
      <w:r>
        <w:rPr>
          <w:iCs/>
          <w:i/>
        </w:rPr>
        <w:t xml:space="preserve">Houston</w:t>
      </w:r>
      <w:r>
        <w:t xml:space="preserve"> </w:t>
      </w:r>
      <w:r>
        <w:t xml:space="preserve">is defined by its intensity and high standards. Whether dealing with international trade or local commercial contracts, the role of the</w:t>
      </w:r>
      <w:r>
        <w:t xml:space="preserve"> </w:t>
      </w:r>
      <w:r>
        <w:rPr>
          <w:bCs/>
          <w:b/>
        </w:rPr>
        <w:t xml:space="preserve">Lawyer</w:t>
      </w:r>
      <w:r>
        <w:t xml:space="preserve"> </w:t>
      </w:r>
      <w:r>
        <w:t xml:space="preserve">remains central to maintaining fairness and order. For businesses operating in the</w:t>
      </w:r>
      <w:r>
        <w:t xml:space="preserve"> </w:t>
      </w:r>
      <w:r>
        <w:rPr>
          <w:bCs/>
          <w:b/>
        </w:rPr>
        <w:t xml:space="preserve">Houston United States</w:t>
      </w:r>
      <w:r>
        <w:t xml:space="preserve">, selecting legal counsel that understands this unique environment is not just a precaution—it is a strategic necessity. This document serves as testament to the power of informed legal advocacy in shaping successful business outcomes.</w:t>
      </w:r>
    </w:p>
    <w:p>
      <w:pPr>
        <w:pStyle w:val="BodyText"/>
      </w:pPr>
      <w:r>
        <w:rPr>
          <w:bCs/>
          <w:b/>
        </w:rPr>
        <w:t xml:space="preserve">Metric</w:t>
      </w:r>
    </w:p>
    <w:p>
      <w:pPr>
        <w:pStyle w:val="BodyText"/>
      </w:pPr>
      <w:r>
        <w:rPr>
          <w:bCs/>
          <w:b/>
        </w:rPr>
        <w:t xml:space="preserve">Description</w:t>
      </w:r>
    </w:p>
    <w:p>
      <w:pPr>
        <w:pStyle w:val="BodyText"/>
      </w:pPr>
      <w:r>
        <w:t xml:space="preserve">tr { height: 40px }</w:t>
      </w:r>
      <w:r>
        <w:br/>
      </w:r>
      <w:r>
        <w:t xml:space="preserve">td{vertical-align:middle}</w:t>
      </w:r>
    </w:p>
    <w:p>
      <w:pPr>
        <w:pStyle w:val="BodyText"/>
      </w:pPr>
      <w:r>
        <w:t xml:space="preserve">© 2023 Legal Insights Group. All rights reserved. This document is for informational purposes only and does not constitute legal advice.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Legal Representation in United States Houston</dc:title>
  <dc:creator/>
  <dc:language>en</dc:language>
  <cp:keywords/>
  <dcterms:created xsi:type="dcterms:W3CDTF">2026-07-29T14:23:08Z</dcterms:created>
  <dcterms:modified xsi:type="dcterms:W3CDTF">2026-07-29T14:23:08Z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