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a6b2917d15731cf31ba843fcb6351adc5267644"/>
    <w:p>
      <w:pPr>
        <w:pStyle w:val="Heading1"/>
      </w:pPr>
      <w:r>
        <w:t xml:space="preserve">Case Study: Navigating Commercial Disputes for International Clients in Vietnam Ho Chi Minh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Vietnam Ho Chi Minh City</w:t>
      </w:r>
      <w:r>
        <w:br/>
      </w:r>
      <w:r>
        <w:rPr>
          <w:bCs/>
          <w:b/>
        </w:rPr>
        <w:t xml:space="preserve">Subject:</w:t>
      </w:r>
      <w:r>
        <w:t xml:space="preserve"> </w:t>
      </w:r>
      <w:r>
        <w:t xml:space="preserve">Cross-Border Commercial Litigation and Regulatory Compliance</w:t>
      </w:r>
    </w:p>
    <w:bookmarkStart w:id="20" w:name="executive-summary"/>
    <w:p>
      <w:pPr>
        <w:pStyle w:val="Heading2"/>
      </w:pPr>
      <w:r>
        <w:t xml:space="preserve">1. Executive Summary</w:t>
      </w:r>
    </w:p>
    <w:p>
      <w:pPr>
        <w:pStyle w:val="FirstParagraph"/>
      </w:pPr>
      <w:r>
        <w:t xml:space="preserve">This case study examines the complexities of engaging a qualified Lawyer in the dynamic legal landscape of Vietnam Ho Chi Minh City. As foreign direct investment (FDI) continues to surge into Vietnam, particularly within its economic engine, Ho Chi Minh City, international businesses frequently encounter intricate legal challenges. These challenges range from contract enforcement and intellectual property protection to complex labor disputes and regulatory compliance issues unique to the Vietnamese jurisdiction. This document outlines a representative scenario where a multinational corporation sought expert legal counsel in Vietnam Ho Chi Minh City to resolve a significant commercial dispute, highlighting the critical role of local expertise.</w:t>
      </w:r>
    </w:p>
    <w:bookmarkEnd w:id="20"/>
    <w:bookmarkStart w:id="21" w:name="case-background"/>
    <w:p>
      <w:pPr>
        <w:pStyle w:val="Heading2"/>
      </w:pPr>
      <w:r>
        <w:t xml:space="preserve">2. Case Background</w:t>
      </w:r>
    </w:p>
    <w:p>
      <w:pPr>
        <w:pStyle w:val="FirstParagraph"/>
      </w:pPr>
      <w:r>
        <w:t xml:space="preserve">The client, "GlobalTech Solutions," is a mid-sized technology firm based in Europe with operations expanding into Southeast Asia. In 2019, GlobalTech entered into a joint venture agreement with a local Vietnamese distributor to market its software products across the region. The headquarters of this operation were established in Vietnam Ho Chi Minh City, specifically within District 1, the central business hub. The partnership was initially prosperous; however, by early 2023, disputes arose regarding revenue sharing calculations and alleged breach of non-compete clauses.</w:t>
      </w:r>
    </w:p>
    <w:p>
      <w:pPr>
        <w:pStyle w:val="BodyText"/>
      </w:pPr>
      <w:r>
        <w:t xml:space="preserve">The local partner ceased payments under the guise of "regulatory adjustments" and blocked GlobalTech’s access to shared databases. Furthermore, the local partner filed a preliminary injunction in a local court in Vietnam Ho Chi Minh City, claiming that GlobalTech was engaging in unfair competition. The situation escalated rapidly, threatening not only the existing joint venture but also future business prospects for GlobalTech throughout Vietnam.</w:t>
      </w:r>
    </w:p>
    <w:bookmarkEnd w:id="21"/>
    <w:bookmarkStart w:id="22" w:name="the-legal-challenge"/>
    <w:p>
      <w:pPr>
        <w:pStyle w:val="Heading2"/>
      </w:pPr>
      <w:r>
        <w:t xml:space="preserve">3. The Legal Challenge</w:t>
      </w:r>
    </w:p>
    <w:p>
      <w:pPr>
        <w:pStyle w:val="FirstParagraph"/>
      </w:pPr>
      <w:r>
        <w:t xml:space="preserve">The primary challenge lay in the intersection of international contract law and Vietnamese domestic regulations. GlobalTech’s legal team lacked specific knowledge of the Vietnamese Law on Commercial, the Enterprise Law, and the Civil Code as applied by courts in Vietnam Ho Chi Minh City. They faced several critical hurdles:</w:t>
      </w:r>
    </w:p>
    <w:p>
      <w:pPr>
        <w:numPr>
          <w:ilvl w:val="0"/>
          <w:numId w:val="1001"/>
        </w:numPr>
        <w:pStyle w:val="Compact"/>
      </w:pPr>
      <w:r>
        <w:rPr>
          <w:bCs/>
          <w:b/>
        </w:rPr>
        <w:t xml:space="preserve">Jurisdictional Nuances:</w:t>
      </w:r>
      <w:r>
        <w:t xml:space="preserve"> </w:t>
      </w:r>
      <w:r>
        <w:t xml:space="preserve">Understanding which court in Vietnam Ho Chi Minh City had jurisdiction over a dispute involving a foreign entity and a local partner.</w:t>
      </w:r>
    </w:p>
    <w:p>
      <w:pPr>
        <w:numPr>
          <w:ilvl w:val="0"/>
          <w:numId w:val="1001"/>
        </w:numPr>
        <w:pStyle w:val="Compact"/>
      </w:pPr>
      <w:r>
        <w:rPr>
          <w:bCs/>
          <w:b/>
        </w:rPr>
        <w:t xml:space="preserve">Evidentiary Standards:</w:t>
      </w:r>
      <w:r>
        <w:t xml:space="preserve"> </w:t>
      </w:r>
      <w:r>
        <w:t xml:space="preserve">The requirement to translate and notarize all evidence into Vietnamese, adhering strictly to procedural codes used by judges in Vietnam Ho Chi Minh City.</w:t>
      </w:r>
    </w:p>
    <w:p>
      <w:pPr>
        <w:numPr>
          <w:ilvl w:val="0"/>
          <w:numId w:val="1001"/>
        </w:numPr>
        <w:pStyle w:val="Compact"/>
      </w:pPr>
      <w:r>
        <w:rPr>
          <w:bCs/>
          <w:b/>
        </w:rPr>
        <w:t xml:space="preserve">Cultural and Linguistic Barriers:</w:t>
      </w:r>
      <w:r>
        <w:t xml:space="preserve"> </w:t>
      </w:r>
      <w:r>
        <w:t xml:space="preserve">Legal terminology in Vietnamese often has subtle differences from English legal concepts, leading to potential misinterpretations if not handled by a native-speaking Lawyer fluent in both legal systems.</w:t>
      </w:r>
    </w:p>
    <w:p>
      <w:pPr>
        <w:numPr>
          <w:ilvl w:val="0"/>
          <w:numId w:val="1001"/>
        </w:numPr>
        <w:pStyle w:val="Compact"/>
      </w:pPr>
      <w:r>
        <w:rPr>
          <w:bCs/>
          <w:b/>
        </w:rPr>
        <w:t xml:space="preserve">Enforcement Risks:</w:t>
      </w:r>
      <w:r>
        <w:t xml:space="preserve"> </w:t>
      </w:r>
      <w:r>
        <w:t xml:space="preserve">The historical difficulty of enforcing foreign arbitral awards or court judgments within Vietnam, although improved by the WTO accession and recent judicial reforms.</w:t>
      </w:r>
    </w:p>
    <w:p>
      <w:pPr>
        <w:pStyle w:val="FirstParagraph"/>
      </w:pPr>
      <w:r>
        <w:t xml:space="preserve">In this context, retaining a Lawyer specialized in commercial litigation in Vietnam Ho Chi Minh City was not merely an option but a necessity for survival. The client needed a Lawyer who could navigate the bureaucratic landscape of Ho Chi Minh City’s People’s Court while simultaneously negotiating with the opposing party.</w:t>
      </w:r>
    </w:p>
    <w:bookmarkEnd w:id="22"/>
    <w:bookmarkStart w:id="26" w:name="strategic-approach"/>
    <w:p>
      <w:pPr>
        <w:pStyle w:val="Heading2"/>
      </w:pPr>
      <w:r>
        <w:t xml:space="preserve">4. Strategic Approach</w:t>
      </w:r>
    </w:p>
    <w:p>
      <w:pPr>
        <w:pStyle w:val="FirstParagraph"/>
      </w:pPr>
      <w:r>
        <w:t xml:space="preserve">GlobalTech retained "Pham &amp; Associates," a prominent law firm based in Vietnam Ho Chi Minh City, known for its expertise in cross-border disputes. The assigned Lawyer implemented a three-phase strategy:</w:t>
      </w:r>
    </w:p>
    <w:bookmarkStart w:id="23" w:name="phase-1-immediate-preservation-of-rights"/>
    <w:p>
      <w:pPr>
        <w:pStyle w:val="Heading3"/>
      </w:pPr>
      <w:r>
        <w:t xml:space="preserve">Phase 1: Immediate Preservation of Rights</w:t>
      </w:r>
    </w:p>
    <w:p>
      <w:pPr>
        <w:pStyle w:val="FirstParagraph"/>
      </w:pPr>
      <w:r>
        <w:t xml:space="preserve">The Lawyer first filed an objection to the jurisdiction of the preliminary injunction proceedings, arguing that the joint venture agreement contained an arbitration clause requiring disputes to be resolved through the Vietnam International Arbitration Centre (VIAC) or a designated international body. By challenging the local court's authority in Ho Chi Minh City, the Lawyer successfully stayed the adverse proceedings against GlobalTech.</w:t>
      </w:r>
    </w:p>
    <w:bookmarkEnd w:id="23"/>
    <w:bookmarkStart w:id="24" w:name="X78ebc820f7b47a3039e38f261b25b35ff1f2be1"/>
    <w:p>
      <w:pPr>
        <w:pStyle w:val="Heading3"/>
      </w:pPr>
      <w:r>
        <w:t xml:space="preserve">Phase 2: Evidence Collection and Translation</w:t>
      </w:r>
    </w:p>
    <w:p>
      <w:pPr>
        <w:pStyle w:val="FirstParagraph"/>
      </w:pPr>
      <w:r>
        <w:t xml:space="preserve">The team worked meticulously to gather digital evidence of revenue flows. This involved cooperating with local accountants in Vietnam Ho Chi Minh City to audit the shared accounts. The Lawyer ensured that all emails, contracts, and financial records were properly notarized and apostilled according to international standards before being submitted as evidence in Vietnamese courts or arbitration panels.</w:t>
      </w:r>
    </w:p>
    <w:bookmarkEnd w:id="24"/>
    <w:bookmarkStart w:id="25" w:name="Xbd54c9f3aaf173142595c04c719cc9e74fb4929"/>
    <w:p>
      <w:pPr>
        <w:pStyle w:val="Heading3"/>
      </w:pPr>
      <w:r>
        <w:t xml:space="preserve">Phase 3: Aggressive Negotiation backed by Litigation Readiness</w:t>
      </w:r>
    </w:p>
    <w:p>
      <w:pPr>
        <w:pStyle w:val="FirstParagraph"/>
      </w:pPr>
      <w:r>
        <w:t xml:space="preserve">Leveraging the strength of their legal position, the Lawyer initiated settlement talks. The strategy was to demonstrate to the local partner that continuing litigation in Vietnam Ho Chi Minh City would result in reputational damage and potential criminal liability for fraud or embezzlement under Vietnamese law. The Lawyer used detailed case precedents from similar high-profile cases handled by other lawyers in Ho Chi Minh City to illustrate the likely outcome.</w:t>
      </w:r>
    </w:p>
    <w:bookmarkEnd w:id="25"/>
    <w:bookmarkEnd w:id="26"/>
    <w:bookmarkStart w:id="27" w:name="outcome"/>
    <w:p>
      <w:pPr>
        <w:pStyle w:val="Heading2"/>
      </w:pPr>
      <w:r>
        <w:t xml:space="preserve">5. Outcome</w:t>
      </w:r>
    </w:p>
    <w:p>
      <w:pPr>
        <w:pStyle w:val="FirstParagraph"/>
      </w:pPr>
      <w:r>
        <w:t xml:space="preserve">The strategic approach yielded a favorable settlement within six months of engagement. The local partner agreed to:</w:t>
      </w:r>
    </w:p>
    <w:p>
      <w:pPr>
        <w:numPr>
          <w:ilvl w:val="0"/>
          <w:numId w:val="1002"/>
        </w:numPr>
        <w:pStyle w:val="Compact"/>
      </w:pPr>
      <w:r>
        <w:t xml:space="preserve">Pay the outstanding revenue shares totaling $1.2 million USD.</w:t>
      </w:r>
    </w:p>
    <w:p>
      <w:pPr>
        <w:numPr>
          <w:ilvl w:val="0"/>
          <w:numId w:val="1002"/>
        </w:numPr>
        <w:pStyle w:val="Compact"/>
      </w:pPr>
      <w:r>
        <w:t xml:space="preserve">Acknowledge GlobalTech’s intellectual property rights explicitly in a written addendum.</w:t>
      </w:r>
    </w:p>
    <w:p>
      <w:pPr>
        <w:numPr>
          <w:ilvl w:val="0"/>
          <w:numId w:val="1002"/>
        </w:numPr>
        <w:pStyle w:val="Compact"/>
      </w:pPr>
      <w:r>
        <w:t xml:space="preserve">Terminate the partnership amicably, allowing GlobalTech to exit the market without further entanglement or acquire the partner's shares at a discounted rate (which was later rejected in favor of clean exit).</w:t>
      </w:r>
    </w:p>
    <w:p>
      <w:pPr>
        <w:pStyle w:val="FirstParagraph"/>
      </w:pPr>
      <w:r>
        <w:t xml:space="preserve">The settlement was registered with the Ho Chi Minh City People’s Court, giving it enforceability under Vietnamese law. This prevented any future appeals by the local partner regarding payment obligations.</w:t>
      </w:r>
    </w:p>
    <w:bookmarkEnd w:id="27"/>
    <w:bookmarkStart w:id="31" w:name="key-lessons-and-analysis"/>
    <w:p>
      <w:pPr>
        <w:pStyle w:val="Heading2"/>
      </w:pPr>
      <w:r>
        <w:t xml:space="preserve">6. Key Lessons and Analysis</w:t>
      </w:r>
    </w:p>
    <w:p>
      <w:pPr>
        <w:pStyle w:val="FirstParagraph"/>
      </w:pPr>
      <w:r>
        <w:rPr>
          <w:bCs/>
          <w:b/>
        </w:rPr>
        <w:t xml:space="preserve">The Critical Role of Local Expertise:</w:t>
      </w:r>
    </w:p>
    <w:p>
      <w:pPr>
        <w:pStyle w:val="BodyText"/>
      </w:pPr>
      <w:r>
        <w:t xml:space="preserve">This case underscores that hiring a Lawyer who is not only qualified but also deeply embedded in the legal ecosystem of Vietnam Ho Chi Minh City is paramount. Generalist international lawyers often lack the granular knowledge required to navigate specific procedural rules in Ho Chi Minh City’s courts.</w:t>
      </w:r>
    </w:p>
    <w:bookmarkStart w:id="28" w:name="regulatory-awareness"/>
    <w:p>
      <w:pPr>
        <w:pStyle w:val="Heading3"/>
      </w:pPr>
      <w:r>
        <w:t xml:space="preserve">Regulatory Awareness</w:t>
      </w:r>
    </w:p>
    <w:p>
      <w:pPr>
        <w:pStyle w:val="FirstParagraph"/>
      </w:pPr>
      <w:r>
        <w:t xml:space="preserve">Vietnam’s legal framework evolves rapidly. The Lawyer had to be up-to-date with recent amendments to the Law on Enterprises and new decrees issued by the Ministry of Planning and Investment, which directly impacted joint venture operations in Vietnam Ho Chi Minh City. Failure to adapt to these changes could have resulted in the loss of case due to procedural non-compliance.</w:t>
      </w:r>
    </w:p>
    <w:bookmarkEnd w:id="28"/>
    <w:bookmarkStart w:id="29" w:name="building-relationships"/>
    <w:p>
      <w:pPr>
        <w:pStyle w:val="Heading3"/>
      </w:pPr>
      <w:r>
        <w:t xml:space="preserve">Building Relationships</w:t>
      </w:r>
    </w:p>
    <w:p>
      <w:pPr>
        <w:pStyle w:val="FirstParagraph"/>
      </w:pPr>
      <w:r>
        <w:t xml:space="preserve">In Vietnam Ho Chi Minh City, professional relationships matter. The Lawyer utilized established channels with mediators and judges in local courts, not for improper influence, but to ensure that filings were processed correctly and hearings were scheduled efficiently. This efficiency saved GlobalTech significant time and legal fees.</w:t>
      </w:r>
    </w:p>
    <w:bookmarkEnd w:id="29"/>
    <w:bookmarkStart w:id="30" w:name="cultural-intelligence"/>
    <w:p>
      <w:pPr>
        <w:pStyle w:val="Heading3"/>
      </w:pPr>
      <w:r>
        <w:t xml:space="preserve">Cultural Intelligence</w:t>
      </w:r>
    </w:p>
    <w:p>
      <w:pPr>
        <w:pStyle w:val="FirstParagraph"/>
      </w:pPr>
      <w:r>
        <w:t xml:space="preserve">The Lawyer understood the cultural importance of "saving face" in Vietnamese business culture. By framing the settlement as a mutual resolution rather than a punitive victory, the Lawyer helped preserve business relationships within the broader community in Vietnam Ho Chi Minh City, protecting GlobalTech’s brand reputation.</w:t>
      </w:r>
    </w:p>
    <w:bookmarkEnd w:id="30"/>
    <w:bookmarkEnd w:id="31"/>
    <w:bookmarkStart w:id="32" w:name="conclusion"/>
    <w:p>
      <w:pPr>
        <w:pStyle w:val="Heading2"/>
      </w:pPr>
      <w:r>
        <w:t xml:space="preserve">7. Conclusion</w:t>
      </w:r>
    </w:p>
    <w:p>
      <w:pPr>
        <w:pStyle w:val="FirstParagraph"/>
      </w:pPr>
      <w:r>
        <w:t xml:space="preserve">The case of GlobalTech Solutions illustrates that successful navigation of commercial disputes in Vietnam requires more than just legal knowledge; it demands strategic agility and local insight. For international businesses operating or planning to operate in Vietnam Ho Chi Minh City, engaging a competent Lawyer is the first step toward risk mitigation. The complexity of Vietnamese law, combined with the vibrant but competitive business environment of Ho Chi Minh City, makes specialized local counsel indispensable.</w:t>
      </w:r>
    </w:p>
    <w:p>
      <w:pPr>
        <w:pStyle w:val="BodyText"/>
      </w:pPr>
      <w:r>
        <w:t xml:space="preserve">Furthermore, this case study reaffirms that while Vietnam has made significant strides in legal reform and judicial transparency, challenges remain. A Lawyer who understands the nuances of litigation in Vietnam Ho Chi Minh City can transform a potentially devastating corporate crisis into a manageable business outcome. As the economic hub of Southern Vietnam continues to attract global attention, the demand for high-quality legal representation will only grow, making this case study relevant for any stakeholder looking to invest or operate in this dynamic region.</w:t>
      </w:r>
    </w:p>
    <w:p>
      <w:pPr>
        <w:pStyle w:val="BodyText"/>
      </w:pPr>
      <w:r>
        <w:t xml:space="preserve">Ultimately, the synergy between international business goals and local legal expertise is the key to sustainable success in Vietnam Ho Chi Minh City. Companies that recognize the value of a dedicated Lawyer early in their engagement with this jurisdiction are better positioned to thrive amidst regulatory complexities and commercial uncertainties.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Vietnam Ho Chi Minh City</dc:title>
  <dc:creator/>
  <dc:language>en</dc:language>
  <cp:keywords/>
  <dcterms:created xsi:type="dcterms:W3CDTF">2026-07-29T13:48:54Z</dcterms:created>
  <dcterms:modified xsi:type="dcterms:W3CDTF">2026-07-29T13:48:54Z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