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Canada</w:t>
      </w:r>
      <w:r>
        <w:t xml:space="preserve"> </w:t>
      </w:r>
      <w:r>
        <w:t xml:space="preserve">Vancouver</w:t>
      </w:r>
    </w:p>
    <w:bookmarkStart w:id="29" w:name="Xa74428fa73a45a0da5aa516a55630b7fcf5c0e5"/>
    <w:p>
      <w:pPr>
        <w:pStyle w:val="Heading1"/>
      </w:pPr>
      <w:r>
        <w:t xml:space="preserve">Case Study: The Evolving Role of the Librarian in Canada Vancouver</w:t>
      </w:r>
    </w:p>
    <w:bookmarkStart w:id="28" w:name="date"/>
    <w:p>
      <w:pPr>
        <w:pStyle w:val="Heading2"/>
      </w:pPr>
      <w:r>
        <w:rPr>
          <w:bCs/>
          <w:b/>
        </w:rPr>
        <w:t xml:space="preserve">Date:</w:t>
      </w:r>
    </w:p>
    <w:p>
      <w:pPr>
        <w:pStyle w:val="FirstParagraph"/>
      </w:pPr>
      <w:r>
        <w:rPr>
          <w:bCs/>
          <w:b/>
        </w:rPr>
        <w:t xml:space="preserve">M</w:t>
      </w:r>
    </w:p>
    <w:p>
      <w:pPr>
        <w:pStyle w:val="BodyText"/>
      </w:pPr>
      <w:r>
        <w:rPr>
          <w:bCs/>
          <w:b/>
        </w:rPr>
        <w:t xml:space="preserve">Status:</w:t>
      </w:r>
      <w:r>
        <w:t xml:space="preserve"> </w:t>
      </w:r>
      <w:r>
        <w:t xml:space="preserve">Completed Analysis</w:t>
      </w:r>
      <w:r>
        <w:br/>
      </w:r>
    </w:p>
    <w:p>
      <w:pPr>
        <w:pStyle w:val="BodyText"/>
      </w:pPr>
      <w:r>
        <w:t xml:space="preserve">C</w:t>
      </w:r>
    </w:p>
    <w:p>
      <w:pPr>
        <w:pStyle w:val="BodyText"/>
      </w:pPr>
      <w:r>
        <w:t xml:space="preserve">1. Introduction and Background</w:t>
      </w:r>
      <w:r>
        <w:t xml:space="preserve"> </w:t>
      </w:r>
      <w:r>
        <w:t xml:space="preserve">In the contemporary landscape of public services, few roles are undergoing as significant a transformation as that of the librarian. This case study examines the dynamic environment within</w:t>
      </w:r>
      <w:r>
        <w:t xml:space="preserve"> </w:t>
      </w:r>
      <w:hyperlink w:anchor="Xa39a3ee5e6b4b0d3255bfef95601890afd80709">
        <w:r>
          <w:rPr>
            <w:rStyle w:val="Hyperlink"/>
          </w:rPr>
          <w:t xml:space="preserve">Canada Vancouver</w:t>
        </w:r>
      </w:hyperlink>
      <w:r>
        <w:t xml:space="preserve">, a city renowned for its high quality of life, diverse population, and commitment to community engagement. The focus is on how local libraries in</w:t>
      </w:r>
      <w:r>
        <w:t xml:space="preserve"> </w:t>
      </w:r>
      <w:hyperlink w:anchor="Xa39a3ee5e6b4b0d3255bfef95601890afd80709">
        <w:r>
          <w:rPr>
            <w:rStyle w:val="Hyperlink"/>
          </w:rPr>
          <w:t xml:space="preserve">Canada Vancouver</w:t>
        </w:r>
      </w:hyperlink>
      <w:r>
        <w:t xml:space="preserve"> </w:t>
      </w:r>
      <w:r>
        <w:t xml:space="preserve">are adapting their services, technologies, and staffing models to meet the needs of a rapidly changing demographic. At the heart of this evolution is the professional identity of the librarian. No longer confined to the quiet management of books, today's librarian in</w:t>
      </w:r>
      <w:r>
        <w:t xml:space="preserve"> </w:t>
      </w:r>
      <w:hyperlink w:anchor="Xa39a3ee5e6b4b0d3255bfef95601890afd80709">
        <w:r>
          <w:rPr>
            <w:rStyle w:val="Hyperlink"/>
          </w:rPr>
          <w:t xml:space="preserve">Canada Vancouver</w:t>
        </w:r>
      </w:hyperlink>
      <w:r>
        <w:t xml:space="preserve"> </w:t>
      </w:r>
      <w:r>
        <w:t xml:space="preserve">serves as an information navigator, community educator, digital advocate, and social support provider. This document explores these multifaceted responsibilities through specific operational challenges and strategic adaptations observed in major branches across the city.</w:t>
      </w:r>
    </w:p>
    <w:bookmarkStart w:id="27" w:name="section"/>
    <w:p>
      <w:pPr>
        <w:pStyle w:val="Heading2"/>
      </w:pPr>
      <w:r>
        <w:t xml:space="preserve">2</w:t>
      </w:r>
    </w:p>
    <w:bookmarkStart w:id="20" w:name="the-context-of-canada-vancouver"/>
    <w:p>
      <w:pPr>
        <w:pStyle w:val="Heading3"/>
      </w:pPr>
      <w:r>
        <w:t xml:space="preserve">The Context of Canada Vancouver</w:t>
      </w:r>
    </w:p>
    <w:p>
      <w:pPr>
        <w:pStyle w:val="FirstParagraph"/>
      </w:pPr>
      <w:hyperlink w:anchor="Xa39a3ee5e6b4b0d3255bfef95601890afd80709">
        <w:r>
          <w:rPr>
            <w:rStyle w:val="Hyperlink"/>
          </w:rPr>
          <w:t xml:space="preserve">Canada Vancouver</w:t>
        </w:r>
      </w:hyperlink>
      <w:r>
        <w:t xml:space="preserve">Canada Vancouver reflects this shift. Modern branches are designed as "third places"—social surroundings separate from the two usual social environments of home and the workplace. They feature maker spaces, recording studios, meeting rooms, and comfortable collaborative areas. This architectural shift demands a new skill set from the staff who manage these spaces.</w:t>
      </w:r>
    </w:p>
    <w:bookmarkEnd w:id="20"/>
    <w:bookmarkStart w:id="21" w:name="Xa9662cc204b9897d582e68caf969e1d9161aff4"/>
    <w:p>
      <w:pPr>
        <w:pStyle w:val="Heading3"/>
      </w:pPr>
      <w:r>
        <w:t xml:space="preserve">The Professional Profile of the Librarian</w:t>
      </w:r>
    </w:p>
    <w:p>
      <w:pPr>
        <w:pStyle w:val="FirstParagraph"/>
      </w:pPr>
      <w:r>
        <w:t xml:space="preserve">The role of the librarian in</w:t>
      </w:r>
      <w:r>
        <w:t xml:space="preserve"> </w:t>
      </w:r>
      <w:hyperlink w:anchor="Xa39a3ee5e6b4b0d3255bfef95601890afd80709">
        <w:r>
          <w:rPr>
            <w:rStyle w:val="Hyperlink"/>
          </w:rPr>
          <w:t xml:space="preserve">Canada Vancouver</w:t>
        </w:r>
      </w:hyperlink>
    </w:p>
    <w:p>
      <w:pPr>
        <w:pStyle w:val="BodyText"/>
      </w:pPr>
      <w:r>
        <w:t xml:space="preserve">Furthermore, cultural competence is paramount. Given the diverse linguistic landscape of</w:t>
      </w:r>
      <w:r>
        <w:t xml:space="preserve"> </w:t>
      </w:r>
      <w:hyperlink w:anchor="Xa39a3ee5e6b4b0d3255bfef95601890afd80709">
        <w:r>
          <w:rPr>
            <w:rStyle w:val="Hyperlink"/>
          </w:rPr>
          <w:t xml:space="preserve">Canada Vancouver</w:t>
        </w:r>
      </w:hyperlink>
      <w:r>
        <w:t xml:space="preserve">, librarians must be adept at navigating multilingual resources and providing culturally sensitive services. This includes supporting Indigenous communities by integrating Indigenous knowledge systems into library collections and programming, a critical aspect of reconciliation efforts in Canada.</w:t>
      </w:r>
    </w:p>
    <w:bookmarkEnd w:id="21"/>
    <w:bookmarkStart w:id="22" w:name="X7c2f1581fe042cdb6c353bdbb22b54702cca6cf"/>
    <w:p>
      <w:pPr>
        <w:pStyle w:val="Heading3"/>
      </w:pPr>
      <w:r>
        <w:t xml:space="preserve">Case Example: The Digital Divide and Community Support</w:t>
      </w:r>
    </w:p>
    <w:p>
      <w:pPr>
        <w:pStyle w:val="FirstParagraph"/>
      </w:pPr>
      <w:r>
        <w:t xml:space="preserve">A specific case within the Vancouver Public Library system highlights the critical role of the librarian in bridging the digital divide. During recent global disruptions, many residents in low-income households faced significant barriers to accessing online education and employment opportunities. In response, librarians in</w:t>
      </w:r>
      <w:r>
        <w:t xml:space="preserve"> </w:t>
      </w:r>
      <w:hyperlink w:anchor="Xa39a3ee5e6b4b0d3255bfef95601890afd80709">
        <w:r>
          <w:rPr>
            <w:rStyle w:val="Hyperlink"/>
          </w:rPr>
          <w:t xml:space="preserve">Canada Vancouver</w:t>
        </w:r>
      </w:hyperlink>
      <w:r>
        <w:t xml:space="preserve"> </w:t>
      </w:r>
      <w:r>
        <w:t xml:space="preserve">spearheaded initiatives such as "Library Hotspot Lending" and intensive digital literacy workshops.</w:t>
      </w:r>
    </w:p>
    <w:p>
      <w:pPr>
        <w:pStyle w:val="BodyText"/>
      </w:pPr>
      <w:r>
        <w:rPr>
          <w:bCs/>
          <w:b/>
        </w:rPr>
        <w:t xml:space="preserve">The Challenge:</w:t>
      </w:r>
      <w:r>
        <w:t xml:space="preserve"> </w:t>
      </w:r>
      <w:r>
        <w:t xml:space="preserve">Many elderly residents and new immigrants lacked the confidence or basic skills to navigate government portals, apply for jobs online, or access telehealth services. The traditional reference desk was insufficient to address this widespread need for foundational digital training.</w:t>
      </w:r>
    </w:p>
    <w:p>
      <w:pPr>
        <w:pStyle w:val="BodyText"/>
      </w:pPr>
      <w:r>
        <w:rPr>
          <w:bCs/>
          <w:b/>
        </w:rPr>
        <w:t xml:space="preserve">The Intervention:</w:t>
      </w:r>
      <w:r>
        <w:t xml:space="preserve"> </w:t>
      </w:r>
      <w:r>
        <w:t xml:space="preserve">Librarians redesigned their service model. Instead of solely reacting to individual inquiries, they proactively organized structured courses on internet safety, resume building using digital tools, and navigating e-government services. They partnered with local community centers and non-profits to reach underserved populations.</w:t>
      </w:r>
    </w:p>
    <w:p>
      <w:pPr>
        <w:pStyle w:val="BodyText"/>
      </w:pPr>
      <w:r>
        <w:rPr>
          <w:bCs/>
          <w:b/>
        </w:rPr>
        <w:t xml:space="preserve">The Outcome:</w:t>
      </w:r>
      <w:r>
        <w:t xml:space="preserve"> </w:t>
      </w:r>
      <w:r>
        <w:t xml:space="preserve">The results were substantial. Library usage in digital services increased by 40% in the pilot branches. More importantly, user feedback indicated a significant improvement in residents' confidence and employability. This case illustrates that the librarian is not merely an accessor of information but an active agent of social equity and community resilience.</w:t>
      </w:r>
    </w:p>
    <w:bookmarkEnd w:id="22"/>
    <w:bookmarkStart w:id="23" w:name="mental-health-and-social-isolation"/>
    <w:p>
      <w:pPr>
        <w:pStyle w:val="Heading3"/>
      </w:pPr>
      <w:r>
        <w:t xml:space="preserve">Mental Health and Social Isolation</w:t>
      </w:r>
    </w:p>
    <w:p>
      <w:pPr>
        <w:pStyle w:val="FirstParagraph"/>
      </w:pPr>
      <w:r>
        <w:t xml:space="preserve">Beyond digital skills, librarians in</w:t>
      </w:r>
      <w:r>
        <w:t xml:space="preserve"> </w:t>
      </w:r>
      <w:hyperlink w:anchor="Xa39a3ee5e6b4b0d3255bfef95601890afd80709">
        <w:r>
          <w:rPr>
            <w:rStyle w:val="Hyperlink"/>
          </w:rPr>
          <w:t xml:space="preserve">Canada Vancouver</w:t>
        </w:r>
      </w:hyperlink>
      <w:r>
        <w:t xml:space="preserve"> </w:t>
      </w:r>
      <w:r>
        <w:t xml:space="preserve">are increasingly recognized as first responders to social isolation. Libraries provide a safe, non-judgmental space for individuals who may be experiencing homelessness or mental health struggles. Staff training has evolved to include de-escalation techniques and basic mental health first aid.</w:t>
      </w:r>
    </w:p>
    <w:p>
      <w:pPr>
        <w:pStyle w:val="BodyText"/>
      </w:pPr>
      <w:r>
        <w:t xml:space="preserve">In one notable instance, a branch librarian identified a patron exhibiting signs of severe anxiety and depression. Utilizing training provided by the library system in partnership with local health authorities, the librarian was able to connect the patron with appropriate social services while providing immediate emotional support and resources. This highlights the ethical and practical complexity of modern librarianship, requiring professionals who are empathetic, observant, and well-connected within the broader social service network.</w:t>
      </w:r>
    </w:p>
    <w:bookmarkEnd w:id="23"/>
    <w:bookmarkStart w:id="24" w:name="challenges-facing-the-profession"/>
    <w:p>
      <w:pPr>
        <w:pStyle w:val="Heading3"/>
      </w:pPr>
      <w:r>
        <w:t xml:space="preserve">Challenges Facing the Profession</w:t>
      </w:r>
    </w:p>
    <w:p>
      <w:pPr>
        <w:pStyle w:val="FirstParagraph"/>
      </w:pPr>
      <w:r>
        <w:t xml:space="preserve">Despite these successes, librarians in</w:t>
      </w:r>
      <w:r>
        <w:t xml:space="preserve"> </w:t>
      </w:r>
      <w:hyperlink w:anchor="Xa39a3ee5e6b4b0d3255bfef95601890afd80709">
        <w:r>
          <w:rPr>
            <w:rStyle w:val="Hyperlink"/>
          </w:rPr>
          <w:t xml:space="preserve">Canada Vancouver</w:t>
        </w:r>
      </w:hyperlink>
    </w:p>
    <w:p>
      <w:pPr>
        <w:pStyle w:val="BodyText"/>
      </w:pPr>
      <w:r>
        <w:t xml:space="preserve">Burnout is another concern. The emotional labor involved in providing social support, combined with technical demands and high public visibility, can lead to professional fatigue. Professional development opportunities must therefore continue to evolve to include wellness strategies and advanced training in conflict resolution and digital ethics.</w:t>
      </w:r>
    </w:p>
    <w:bookmarkEnd w:id="24"/>
    <w:bookmarkStart w:id="25" w:name="conclusion-and-future-outlook"/>
    <w:p>
      <w:pPr>
        <w:pStyle w:val="Heading3"/>
      </w:pPr>
      <w:r>
        <w:t xml:space="preserve">Conclusion and Future Outlook</w:t>
      </w:r>
    </w:p>
    <w:p>
      <w:pPr>
        <w:pStyle w:val="FirstParagraph"/>
      </w:pPr>
      <w:r>
        <w:t xml:space="preserve">The case study of the librarian in</w:t>
      </w:r>
      <w:r>
        <w:t xml:space="preserve"> </w:t>
      </w:r>
      <w:hyperlink w:anchor="Xa39a3ee5e6b4b0d3255bfef95601890afd80709">
        <w:r>
          <w:rPr>
            <w:rStyle w:val="Hyperlink"/>
          </w:rPr>
          <w:t xml:space="preserve">Canada Vancouver</w:t>
        </w:r>
      </w:hyperlink>
      <w:r>
        <w:t xml:space="preserve">Canada Vancouver, they must continue to invest in their staff, providing them with the tools, training, and support necessary to navigate this complex landscape.</w:t>
      </w:r>
    </w:p>
    <w:p>
      <w:pPr>
        <w:pStyle w:val="BodyText"/>
      </w:pPr>
      <w:r>
        <w:t xml:space="preserve">Future trends will likely see an even greater integration of technology into library services, including AI-driven reference systems and virtual reality programming. However, the human element—the librarian—will remain irreplaceable. Their ability to interpret information critically, provide compassionate service, and foster community connections ensures that they will continue to play a pivotal role in the social fabric of</w:t>
      </w:r>
      <w:r>
        <w:t xml:space="preserve"> </w:t>
      </w:r>
      <w:hyperlink w:anchor="Xa39a3ee5e6b4b0d3255bfef95601890afd80709">
        <w:r>
          <w:rPr>
            <w:rStyle w:val="Hyperlink"/>
          </w:rPr>
          <w:t xml:space="preserve">Canada Vancouver</w:t>
        </w:r>
      </w:hyperlink>
      <w:r>
        <w:t xml:space="preserve">. Investing in librarians is not just an investment in libraries; it is an investment in the informed, connected, and resilient future of Canadian society.</w:t>
      </w:r>
    </w:p>
    <w:bookmarkEnd w:id="25"/>
    <w:bookmarkStart w:id="26" w:name="references-and-further-reading"/>
    <w:p>
      <w:pPr>
        <w:pStyle w:val="Heading3"/>
      </w:pPr>
      <w:r>
        <w:t xml:space="preserve">References and Further Reading</w:t>
      </w:r>
    </w:p>
    <w:p>
      <w:pPr>
        <w:pStyle w:val="FirstParagraph"/>
      </w:pPr>
      <w:r>
        <w:t xml:space="preserve">Vancouver Public Library Annual Reports (2020-2023)</w:t>
      </w:r>
    </w:p>
    <w:p>
      <w:pPr>
        <w:pStyle w:val="BodyText"/>
      </w:pPr>
      <w:r>
        <w:rPr>
          <w:iCs/>
          <w:i/>
        </w:rPr>
        <w:t xml:space="preserve">The Future of Libraries in the Digital Age</w:t>
      </w:r>
      <w:r>
        <w:t xml:space="preserve">, Journal of Canadian Librarianship.</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Canada Vancouver</dc:title>
  <dc:creator/>
  <dc:language>en</dc:language>
  <cp:keywords/>
  <dcterms:created xsi:type="dcterms:W3CDTF">2026-07-29T04:57:50Z</dcterms:created>
  <dcterms:modified xsi:type="dcterms:W3CDTF">2026-07-29T04:57:50Z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