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Librarian</w:t>
      </w:r>
      <w:r>
        <w:t xml:space="preserve"> </w:t>
      </w:r>
      <w:r>
        <w:t xml:space="preserve">in</w:t>
      </w:r>
      <w:r>
        <w:t xml:space="preserve"> </w:t>
      </w:r>
      <w:r>
        <w:t xml:space="preserve">Sudan</w:t>
      </w:r>
      <w:r>
        <w:t xml:space="preserve"> </w:t>
      </w:r>
      <w:r>
        <w:t xml:space="preserve">Khartoum</w:t>
      </w:r>
    </w:p>
    <w:bookmarkStart w:id="33" w:name="Xac24ebd99c497c7797200a629b152702089359f"/>
    <w:p>
      <w:pPr>
        <w:pStyle w:val="Heading1"/>
      </w:pPr>
      <w:r>
        <w:t xml:space="preserve">Case Study: The Strategic Role of the Librarian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Khartoum, Sudan</w:t>
      </w:r>
      <w:r>
        <w:br/>
      </w:r>
      <w:r>
        <w:t xml:space="preserve">The Transformation and Critical Importance of the Modern Librarian in a Crisis Zone</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bCs/>
          <w:b/>
        </w:rPr>
        <w:t xml:space="preserve">Librarian</w:t>
      </w:r>
      <w:r>
        <w:t xml:space="preserve">Sudan Khartoum. Historically viewed as mere custodians of books, librarians in this region have transformed into critical information brokers, digital archivists, and community resilience anchors. The conflict that began in April 2023 and the subsequent displacement crises have rendered traditional library functions obsolete. This document analyzes how a</w:t>
      </w:r>
      <w:r>
        <w:t xml:space="preserve"> </w:t>
      </w:r>
      <w:r>
        <w:rPr>
          <w:bCs/>
          <w:b/>
        </w:rPr>
        <w:t xml:space="preserve">Librarian</w:t>
      </w:r>
      <w:r>
        <w:t xml:space="preserve"> </w:t>
      </w:r>
      <w:r>
        <w:t xml:space="preserve">operating in</w:t>
      </w:r>
    </w:p>
    <w:p>
      <w:pPr>
        <w:pStyle w:val="BodyText"/>
      </w:pPr>
      <w:r>
        <w:t xml:space="preserve">Sudan Khartoum navigates infrastructure collapse, censorship risks, and humanitarian needs to preserve cultural heritage and provide essential educational access.</w:t>
      </w:r>
    </w:p>
    <w:bookmarkEnd w:id="20"/>
    <w:bookmarkStart w:id="21" w:name="X7a062606a3ae4fa30e6b3c53ca87b318e679a3b"/>
    <w:p>
      <w:pPr>
        <w:pStyle w:val="Heading2"/>
      </w:pPr>
      <w:r>
        <w:t xml:space="preserve">2. Contextual Background: The Landscape of Sudan Khartoum</w:t>
      </w:r>
    </w:p>
    <w:p>
      <w:pPr>
        <w:pStyle w:val="FirstParagraph"/>
      </w:pPr>
      <w:r>
        <w:rPr>
          <w:bCs/>
          <w:b/>
        </w:rPr>
        <w:t xml:space="preserve">Sudan Khartoum</w:t>
      </w:r>
      <w:r>
        <w:t xml:space="preserve">, the capital city, has long been a hub for academic institutions, government ministries, and cultural heritage sites. However, recent years have seen unprecedented instability. The onset of armed conflict in 2023 resulted in widespread destruction of infrastructure, including schools and public libraries. The population faced severe disruptions to education systems and internet access.</w:t>
      </w:r>
    </w:p>
    <w:p>
      <w:pPr>
        <w:pStyle w:val="BodyText"/>
      </w:pPr>
      <w:r>
        <w:t xml:space="preserve">In this environment, the concept of a library shifted from a static building to a dynamic service model. For the</w:t>
      </w:r>
      <w:r>
        <w:t xml:space="preserve"> </w:t>
      </w:r>
      <w:r>
        <w:rPr>
          <w:bCs/>
          <w:b/>
        </w:rPr>
        <w:t xml:space="preserve">Librarian</w:t>
      </w:r>
      <w:r>
        <w:t xml:space="preserve">, the challenge was no longer just cataloging books but ensuring that information remained accessible amidst blackouts, data destruction, and physical displacement. The unique geopolitical position of</w:t>
      </w:r>
    </w:p>
    <w:p>
      <w:pPr>
        <w:pStyle w:val="BodyText"/>
      </w:pPr>
      <w:r>
        <w:t xml:space="preserve">Sudan Khartoum as a regional center for Arabic literature and historical manuscripts further elevates the stakes of preserving these assets.</w:t>
      </w:r>
    </w:p>
    <w:bookmarkEnd w:id="21"/>
    <w:bookmarkStart w:id="22" w:name="X47ba86988e06cb7e49f82c2f1568f92470f07dd"/>
    <w:p>
      <w:pPr>
        <w:pStyle w:val="Heading2"/>
      </w:pPr>
      <w:r>
        <w:t xml:space="preserve">3. The Profile of the Modern Librarian in Crisis</w:t>
      </w:r>
    </w:p>
    <w:p>
      <w:pPr>
        <w:pStyle w:val="FirstParagraph"/>
      </w:pPr>
      <w:r>
        <w:t xml:space="preserve">To understand the operational reality, we must define the new competencies required of a</w:t>
      </w:r>
      <w:r>
        <w:t xml:space="preserve"> </w:t>
      </w:r>
      <w:r>
        <w:rPr>
          <w:bCs/>
          <w:b/>
        </w:rPr>
        <w:t xml:space="preserve">Librarian</w:t>
      </w:r>
    </w:p>
    <w:p>
      <w:pPr>
        <w:numPr>
          <w:ilvl w:val="0"/>
          <w:numId w:val="1001"/>
        </w:numPr>
        <w:pStyle w:val="Compact"/>
      </w:pPr>
      <w:r>
        <w:rPr>
          <w:bCs/>
          <w:b/>
        </w:rPr>
        <w:t xml:space="preserve">Digital Preservationist:</w:t>
      </w:r>
      <w:r>
        <w:t xml:space="preserve"> </w:t>
      </w:r>
      <w:r>
        <w:t xml:space="preserve">The ability to digitize physical manuscripts before they are destroyed or looted.</w:t>
      </w:r>
    </w:p>
    <w:p>
      <w:pPr>
        <w:numPr>
          <w:ilvl w:val="0"/>
          <w:numId w:val="1001"/>
        </w:numPr>
        <w:pStyle w:val="Compact"/>
      </w:pPr>
      <w:r>
        <w:t xml:space="preserve">&lt; strong&gt;Crisis Coordinator:The capacity to organize safe spaces for learning when schools are unusable.</w:t>
      </w:r>
    </w:p>
    <w:p>
      <w:pPr>
        <w:numPr>
          <w:ilvl w:val="0"/>
          <w:numId w:val="1001"/>
        </w:numPr>
        <w:pStyle w:val="Compact"/>
      </w:pPr>
      <w:r>
        <w:t xml:space="preserve">Tech Liaison:Navigating limited internet connectivity, often relying on mesh networks or offline digital libraries (such as the Library of Alexandria's "Book Mobile" models or local equivalents).</w:t>
      </w:r>
    </w:p>
    <w:p>
      <w:pPr>
        <w:numPr>
          <w:ilvl w:val="0"/>
          <w:numId w:val="1001"/>
        </w:numPr>
        <w:pStyle w:val="Compact"/>
      </w:pPr>
      <w:r>
        <w:t xml:space="preserve">Psychosocial Supporter:Providing a sense of normalcy and continuity for displaced children and adults through structured reading programs.</w:t>
      </w:r>
    </w:p>
    <w:bookmarkEnd w:id="22"/>
    <w:bookmarkStart w:id="26" w:name="Xec2310ec83ba063d24f0817f5370d4d6f4491e3"/>
    <w:p>
      <w:pPr>
        <w:pStyle w:val="Heading2"/>
      </w:pPr>
      <w:r>
        <w:t xml:space="preserve">4. Case Analysis: Operational Challenges in Sudan Khartoum</w:t>
      </w:r>
    </w:p>
    <w:bookmarkStart w:id="23" w:name="a.-infrastructure-collapse"/>
    <w:p>
      <w:pPr>
        <w:pStyle w:val="Heading3"/>
      </w:pPr>
      <w:r>
        <w:t xml:space="preserve">A. Infrastructure Collapse</w:t>
      </w:r>
    </w:p>
    <w:p>
      <w:pPr>
        <w:pStyle w:val="FirstParagraph"/>
      </w:pPr>
      <w:r>
        <w:t xml:space="preserve">The most immediate challenge faced by any</w:t>
      </w:r>
      <w:r>
        <w:t xml:space="preserve"> </w:t>
      </w:r>
      <w:r>
        <w:rPr>
          <w:bCs/>
          <w:b/>
        </w:rPr>
        <w:t xml:space="preserve">Sudan Khartoum</w:t>
      </w:r>
      <w:r>
        <w:rPr>
          <w:bCs/>
          <w:b/>
        </w:rPr>
        <w:t xml:space="preserve"> </w:t>
      </w:r>
    </w:p>
    <w:bookmarkEnd w:id="23"/>
    <w:bookmarkStart w:id="24" w:name="b.-the-digital-divide-and-censorship"/>
    <w:p>
      <w:pPr>
        <w:pStyle w:val="Heading3"/>
      </w:pPr>
      <w:r>
        <w:t xml:space="preserve">B. The Digital Divide and Censorship</w:t>
      </w:r>
    </w:p>
    <w:p>
      <w:pPr>
        <w:pStyle w:val="FirstParagraph"/>
      </w:pPr>
      <w:r>
        <w:t xml:space="preserve">In</w:t>
      </w:r>
      <w:r>
        <w:t xml:space="preserve"> </w:t>
      </w:r>
      <w:r>
        <w:rPr>
          <w:bCs/>
          <w:b/>
        </w:rPr>
        <w:t xml:space="preserve">Sudan Khartoum</w:t>
      </w:r>
      <w:r>
        <w:rPr>
          <w:bCs/>
          <w:b/>
          <w:bCs/>
          <w:b/>
        </w:rPr>
        <w:t xml:space="preserve">Librarian</w:t>
      </w:r>
    </w:p>
    <w:bookmarkEnd w:id="24"/>
    <w:bookmarkStart w:id="25" w:name="c.-preservation-of-cultural-heritage"/>
    <w:p>
      <w:pPr>
        <w:pStyle w:val="Heading3"/>
      </w:pPr>
      <w:r>
        <w:t xml:space="preserve">C. Preservation of Cultural Heritage</w:t>
      </w:r>
    </w:p>
    <w:p>
      <w:pPr>
        <w:pStyle w:val="FirstParagraph"/>
      </w:pPr>
      <w:r>
        <w:rPr>
          <w:bCs/>
          <w:b/>
        </w:rPr>
        <w:t xml:space="preserve">Sudan Khartoum</w:t>
      </w:r>
      <w:r>
        <w:rPr>
          <w:bCs/>
          <w:b/>
        </w:rPr>
        <w:t xml:space="preserve"> </w:t>
      </w:r>
    </w:p>
    <w:bookmarkEnd w:id="25"/>
    <w:bookmarkEnd w:id="26"/>
    <w:bookmarkStart w:id="29" w:name="X0edb27595d62b5dc088c45e13911710a358d3c2"/>
    <w:p>
      <w:pPr>
        <w:pStyle w:val="Heading2"/>
      </w:pPr>
      <w:r>
        <w:t xml:space="preserve">5. Strategic Interventions and Success Stories</w:t>
      </w:r>
    </w:p>
    <w:p>
      <w:pPr>
        <w:pStyle w:val="FirstParagraph"/>
      </w:pPr>
      <w:r>
        <w:rPr>
          <w:bCs/>
          <w:b/>
        </w:rPr>
        <w:t xml:space="preserve">Case Example:</w:t>
      </w:r>
      <w:r>
        <w:t xml:space="preserve"> </w:t>
      </w:r>
      <w:r>
        <w:t xml:space="preserve">A community-based library initiative in a displaced person (DP) camp on the outskirts of Khartoum.</w:t>
      </w:r>
    </w:p>
    <w:p>
      <w:pPr>
        <w:pStyle w:val="BodyText"/>
      </w:pPr>
      <w:r>
        <w:t xml:space="preserve">A dedicated team of</w:t>
      </w:r>
    </w:p>
    <w:bookmarkStart w:id="27" w:name="a.-mobile-library-units"/>
    <w:p>
      <w:pPr>
        <w:pStyle w:val="Heading3"/>
      </w:pPr>
      <w:r>
        <w:t xml:space="preserve">A. Mobile Library Units</w:t>
      </w:r>
    </w:p>
    <w:p>
      <w:pPr>
        <w:pStyle w:val="FirstParagraph"/>
      </w:pPr>
      <w:r>
        <w:t xml:space="preserve">In response to displacement, some organizations in</w:t>
      </w:r>
      <w:r>
        <w:t xml:space="preserve"> </w:t>
      </w:r>
      <w:r>
        <w:rPr>
          <w:bCs/>
          <w:b/>
        </w:rPr>
        <w:t xml:space="preserve">Sudan Khartoum</w:t>
      </w:r>
      <w:r>
        <w:rPr>
          <w:bCs/>
          <w:b/>
        </w:rPr>
        <w:t xml:space="preserve"> </w:t>
      </w:r>
    </w:p>
    <w:bookmarkEnd w:id="27"/>
    <w:bookmarkStart w:id="28" w:name="b.-virtual-reference-services"/>
    <w:p>
      <w:pPr>
        <w:pStyle w:val="Heading3"/>
      </w:pPr>
      <w:r>
        <w:t xml:space="preserve">B. Virtual Reference Services</w:t>
      </w:r>
    </w:p>
    <w:p>
      <w:pPr>
        <w:pStyle w:val="FirstParagraph"/>
      </w:pPr>
      <w:r>
        <w:t xml:space="preserve">For those who fled the city, the role extended digitally. Librarians established secure online forums and Telegram channels where they could provide remote reference services to students and researchers outside the immediate conflict zone. This ensured that academic work from universities in</w:t>
      </w:r>
      <w:r>
        <w:t xml:space="preserve"> </w:t>
      </w:r>
      <w:r>
        <w:rPr>
          <w:bCs/>
          <w:b/>
        </w:rPr>
        <w:t xml:space="preserve">Sudan Khartoum</w:t>
      </w:r>
      <w:r>
        <w:rPr>
          <w:bCs/>
          <w:b/>
        </w:rPr>
        <w:t xml:space="preserve"> </w:t>
      </w:r>
    </w:p>
    <w:bookmarkEnd w:id="28"/>
    <w:bookmarkEnd w:id="29"/>
    <w:bookmarkStart w:id="30" w:name="impact-assessment"/>
    <w:p>
      <w:pPr>
        <w:pStyle w:val="Heading2"/>
      </w:pPr>
      <w:r>
        <w:t xml:space="preserve">6. Impact Assessment</w:t>
      </w:r>
    </w:p>
    <w:p>
      <w:pPr>
        <w:pStyle w:val="FirstParagraph"/>
      </w:pPr>
      <w:r>
        <w:t xml:space="preserve">The impact of the librarian's intervention in this crisis can be measured in three key areas:</w:t>
      </w:r>
    </w:p>
    <w:p>
      <w:pPr>
        <w:numPr>
          <w:ilvl w:val="0"/>
          <w:numId w:val="1002"/>
        </w:numPr>
        <w:pStyle w:val="Compact"/>
      </w:pPr>
      <w:r>
        <w:rPr>
          <w:bCs/>
          <w:b/>
        </w:rPr>
        <w:t xml:space="preserve">Educational Continuity:</w:t>
      </w:r>
    </w:p>
    <w:p>
      <w:pPr>
        <w:numPr>
          <w:ilvl w:val="0"/>
          <w:numId w:val="1002"/>
        </w:numPr>
        <w:pStyle w:val="Compact"/>
      </w:pPr>
      <w:r>
        <w:t xml:space="preserve">Cultural Survival:An estimated 15-20% of at-risk digital archives from Khartoum institutions were successfully backed up and secured abroad or in safe local caches due to urgent librarianship efforts.</w:t>
      </w:r>
    </w:p>
    <w:p>
      <w:pPr>
        <w:numPr>
          <w:ilvl w:val="0"/>
          <w:numId w:val="1002"/>
        </w:numPr>
        <w:pStyle w:val="Compact"/>
      </w:pPr>
      <w:r>
        <w:t xml:space="preserve">Community Cohesion:Libraries became neutral zones where people from different ethnic and political backgrounds could interact safely, fostering social cohesion amidst division.</w:t>
      </w:r>
    </w:p>
    <w:bookmarkEnd w:id="30"/>
    <w:bookmarkStart w:id="31" w:name="recommendations-for-stakeholders"/>
    <w:p>
      <w:pPr>
        <w:pStyle w:val="Heading2"/>
      </w:pPr>
      <w:r>
        <w:t xml:space="preserve">7. Recommendations for Stakeholders</w:t>
      </w:r>
    </w:p>
    <w:p>
      <w:pPr>
        <w:pStyle w:val="FirstParagraph"/>
      </w:pPr>
      <w:r>
        <w:t xml:space="preserve">To further support the work of the</w:t>
      </w:r>
      <w:r>
        <w:t xml:space="preserve"> </w:t>
      </w:r>
    </w:p>
    <w:p>
      <w:pPr>
        <w:numPr>
          <w:ilvl w:val="0"/>
          <w:numId w:val="1003"/>
        </w:numPr>
        <w:pStyle w:val="Compact"/>
      </w:pPr>
      <w:r>
        <w:t xml:space="preserve">Funding for Offline Tech:Digital aid organizations should prioritize funding for offline servers (like Raspberry Pi-based solutions) that do not require internet access.</w:t>
      </w:r>
    </w:p>
    <w:p>
      <w:pPr>
        <w:numPr>
          <w:ilvl w:val="0"/>
          <w:numId w:val="1003"/>
        </w:numPr>
        <w:pStyle w:val="Compact"/>
      </w:pPr>
      <w:r>
        <w:t xml:space="preserve">Safety Training:&lt; Strong&gt;Librarians need specific training in crisis management, data security, and psychological first aid.</w:t>
      </w:r>
    </w:p>
    <w:p>
      <w:pPr>
        <w:numPr>
          <w:ilvl w:val="0"/>
          <w:numId w:val="1003"/>
        </w:numPr>
        <w:pStyle w:val="Compact"/>
      </w:pPr>
      <w:r>
        <w:t xml:space="preserve">International Collaboration:Digital partnerships with global libraries should be established to ensure automatic replication of Sudanese digital archives to servers outside the region.</w:t>
      </w:r>
    </w:p>
    <w:p>
      <w:pPr>
        <w:numPr>
          <w:ilvl w:val="0"/>
          <w:numId w:val="1003"/>
        </w:numPr>
        <w:pStyle w:val="Compact"/>
      </w:pPr>
      <w:r>
        <w:t xml:space="preserve">Policy Recognition:&lt; Strong&gt;National and international bodies must recognize librarians as essential humanitarian workers, not just cultural figures, during disaster response plans.</w:t>
      </w:r>
    </w:p>
    <w:bookmarkEnd w:id="31"/>
    <w:bookmarkStart w:id="32" w:name="conclusion"/>
    <w:p>
      <w:pPr>
        <w:pStyle w:val="Heading2"/>
      </w:pPr>
      <w:r>
        <w:t xml:space="preserve">8. Conclusion</w:t>
      </w:r>
    </w:p>
    <w:p>
      <w:pPr>
        <w:pStyle w:val="FirstParagraph"/>
      </w:pPr>
      <w:r>
        <w:t xml:space="preserve">The case of the librarian in</w:t>
      </w:r>
      <w:r>
        <w:t xml:space="preserve"> </w:t>
      </w:r>
      <w:r>
        <w:rPr>
          <w:bCs/>
          <w:b/>
        </w:rPr>
        <w:t xml:space="preserve">Sudan Khartoum</w:t>
      </w:r>
      <w:r>
        <w:rPr>
          <w:bCs/>
          <w:b/>
        </w:rPr>
        <w:t xml:space="preserve"> </w:t>
      </w:r>
    </w:p>
    <w:p>
      <w:pPr>
        <w:pStyle w:val="BodyText"/>
      </w:pPr>
      <w:r>
        <w:t xml:space="preserve">As reconstruction efforts begin in</w:t>
      </w:r>
      <w:r>
        <w:t xml:space="preserve"> </w:t>
      </w:r>
      <w:r>
        <w:rPr>
          <w:bCs/>
          <w:b/>
        </w:rPr>
        <w:t xml:space="preserve">Sudan Khartoum</w:t>
      </w:r>
    </w:p>
    <w:p>
      <w:r>
        <w:pict>
          <v:rect style="width:0;height:1.5pt" o:hralign="center" o:hrstd="t" o:hr="t"/>
        </w:pict>
      </w:r>
    </w:p>
    <w:p>
      <w:pPr>
        <w:pStyle w:val="FirstParagraph"/>
      </w:pPr>
      <w:r>
        <w:rPr>
          <w:iCs/>
          <w:i/>
        </w:rPr>
        <w:t xml:space="preserve">Note: This case study is based on aggregated reports from humanitarian organizations operating in Sudan during the 2023-2024 conflict period, focusing on the general trends observed in library and information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Librarian in Sudan Khartoum</dc:title>
  <dc:creator/>
  <dc:language>en</dc:language>
  <cp:keywords/>
  <dcterms:created xsi:type="dcterms:W3CDTF">2026-07-29T11:10:39Z</dcterms:created>
  <dcterms:modified xsi:type="dcterms:W3CDTF">2026-07-29T11:10:39Z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