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p>
    <w:bookmarkStart w:id="31" w:name="X2d59a55fa2efed2dbb9b25d63a7e4d31d72dc8b"/>
    <w:p>
      <w:pPr>
        <w:pStyle w:val="Heading1"/>
      </w:pPr>
      <w:r>
        <w:t xml:space="preserve">The Strategic Nexus: A Case Study on the Role of Marketing Manager in Brazil Brasília</w:t>
      </w:r>
    </w:p>
    <w:p>
      <w:pPr>
        <w:pStyle w:val="FirstParagraph"/>
      </w:pPr>
      <w:r>
        <w:rPr>
          <w:bCs/>
          <w:b/>
        </w:rPr>
        <w:t xml:space="preserve">Date:</w:t>
      </w:r>
      <w:r>
        <w:t xml:space="preserve"> </w:t>
      </w:r>
      <w:r>
        <w:t xml:space="preserve">October 2023</w:t>
      </w:r>
      <w:r>
        <w:br/>
      </w:r>
      <w:r>
        <w:rPr>
          <w:bCs/>
          <w:b/>
        </w:rPr>
        <w:t xml:space="preserve">Subject:</w:t>
      </w:r>
      <w:r>
        <w:t xml:space="preserve">Brazil Brasília Marketing Dynamics and Leadership Challenges</w:t>
      </w:r>
      <w:r>
        <w:br/>
      </w:r>
    </w:p>
    <w:p>
      <w:pPr>
        <w:pStyle w:val="BodyText"/>
      </w:pPr>
      <w:r>
        <w:t xml:space="preserve">Status:: Final Review</w:t>
      </w:r>
    </w:p>
    <w:bookmarkStart w:id="20" w:name="executive-summary"/>
    <w:p>
      <w:pPr>
        <w:pStyle w:val="Heading2"/>
      </w:pPr>
      <w:r>
        <w:t xml:space="preserve">Executive Summary</w:t>
      </w:r>
    </w:p>
    <w:p>
      <w:pPr>
        <w:pStyle w:val="FirstParagraph"/>
      </w:pPr>
      <w:r>
        <w:t xml:space="preserve">In the heart of South America, within the planned capital city of Brazil Brasília, the business landscape is unique. Unlike Rio de Janeiro or São Paulo, which are driven by historical commerce and industry respectively,</w:t>
      </w:r>
      <w:r>
        <w:rPr>
          <w:bCs/>
          <w:b/>
        </w:rPr>
        <w:t xml:space="preserve">Brazil Brasília</w:t>
      </w:r>
      <w:r>
        <w:t xml:space="preserve"> </w:t>
      </w:r>
      <w:r>
        <w:t xml:space="preserve">operates primarily as a hub for government affairs, diplomatic relations, and public policy. Consequently, the role of a</w:t>
      </w:r>
      <w:r>
        <w:t xml:space="preserve"> </w:t>
      </w:r>
      <w:r>
        <w:rPr>
          <w:bCs/>
          <w:b/>
        </w:rPr>
        <w:t xml:space="preserve">Marketing Manager</w:t>
      </w:r>
      <w:r>
        <w:t xml:space="preserve"> </w:t>
      </w:r>
      <w:r>
        <w:t xml:space="preserve">in this specific context requires a specialized skill set that diverges significantly from standard commercial marketing practices. This case study explores the complexities faced by professionals aiming to establish brand presence and drive engagement in</w:t>
      </w:r>
      <w:r>
        <w:rPr>
          <w:bCs/>
          <w:b/>
        </w:rPr>
        <w:t xml:space="preserve">Brazil Brasília</w:t>
      </w:r>
      <w:r>
        <w:t xml:space="preserve">, highlighting the critical intersection between public sector influence, B2G (Business-to-Government) strategies, and modern digital engagement.</w:t>
      </w:r>
    </w:p>
    <w:bookmarkEnd w:id="20"/>
    <w:bookmarkStart w:id="21" w:name="the-unique-ecosystem-of-brazil-brasília"/>
    <w:p>
      <w:pPr>
        <w:pStyle w:val="Heading2"/>
      </w:pPr>
      <w:r>
        <w:t xml:space="preserve">The Unique Ecosystem of Brazil Brasília</w:t>
      </w:r>
    </w:p>
    <w:p>
      <w:pPr>
        <w:pStyle w:val="FirstParagraph"/>
      </w:pPr>
      <w:r>
        <w:t xml:space="preserve">To understand the necessity of a tailored approach by the</w:t>
      </w:r>
      <w:r>
        <w:t xml:space="preserve"> </w:t>
      </w:r>
      <w:r>
        <w:rPr>
          <w:bCs/>
          <w:b/>
        </w:rPr>
        <w:t xml:space="preserve">Marketing Manager</w:t>
      </w:r>
      <w:r>
        <w:t xml:space="preserve">, one must first comprehend the distinct characteristics of</w:t>
      </w:r>
      <w:r>
        <w:rPr>
          <w:bCs/>
          <w:b/>
        </w:rPr>
        <w:t xml:space="preserve">Brazil Brasília</w:t>
      </w:r>
      <w:r>
        <w:t xml:space="preserve">. Established in 1960, this city is a testament to modernist architecture and centralized planning. Its economy is heavily reliant on federal government spending, tourism related to its architectural heritage, and a growing tech sector aiming to diversify the local economy.</w:t>
      </w:r>
    </w:p>
    <w:p>
      <w:pPr>
        <w:pStyle w:val="BodyText"/>
      </w:pPr>
      <w:r>
        <w:t xml:space="preserve">The demographic profile of</w:t>
      </w:r>
      <w:r>
        <w:rPr>
          <w:bCs/>
          <w:b/>
        </w:rPr>
        <w:t xml:space="preserve">Brazil Brasília</w:t>
      </w:r>
      <w:r>
        <w:t xml:space="preserve"> </w:t>
      </w:r>
      <w:r>
        <w:t xml:space="preserve">includes civil servants, politicians, lobbyists, diplomatic staff from various embassies located in the city's "Embassy Axis," and a rapidly expanding class of entrepreneurs serving these entities. For any organization looking to succeed here, understanding this tripartite structure is not optional; it is foundational. The</w:t>
      </w:r>
      <w:r>
        <w:t xml:space="preserve"> </w:t>
      </w:r>
      <w:r>
        <w:rPr>
          <w:bCs/>
          <w:b/>
        </w:rPr>
        <w:t xml:space="preserve">Marketing Manager</w:t>
      </w:r>
      <w:r>
        <w:t xml:space="preserve"> </w:t>
      </w:r>
      <w:r>
        <w:t xml:space="preserve">must navigate a culture where personal relationships, institutional reputation, and political alignment often weigh heavier than price competitiveness.</w:t>
      </w:r>
    </w:p>
    <w:bookmarkEnd w:id="21"/>
    <w:bookmarkStart w:id="23" w:name="X8a3b0394bf0d750c84d896d4a2872dbeea1116a"/>
    <w:p>
      <w:pPr>
        <w:pStyle w:val="Heading2"/>
      </w:pPr>
      <w:r>
        <w:t xml:space="preserve">The Evolving Role of the Marketing Manager</w:t>
      </w:r>
    </w:p>
    <w:p>
      <w:pPr>
        <w:pStyle w:val="FirstParagraph"/>
      </w:pPr>
      <w:r>
        <w:t xml:space="preserve">In traditional markets, a</w:t>
      </w:r>
      <w:r>
        <w:t xml:space="preserve"> </w:t>
      </w:r>
      <w:r>
        <w:rPr>
          <w:bCs/>
          <w:b/>
        </w:rPr>
        <w:t xml:space="preserve">Marketing Manager</w:t>
      </w:r>
    </w:p>
    <w:p>
      <w:pPr>
        <w:pStyle w:val="BodyText"/>
      </w:pPr>
      <w:r>
        <w:t xml:space="preserve">Brazil Brasília, the mandate expands. The professional must act as a bridge between private enterprise and public interest. This role demands high emotional intelligence and cultural sensitivity.</w:t>
      </w:r>
    </w:p>
    <w:bookmarkStart w:id="22" w:name="key-responsibilities-in-this-context"/>
    <w:p>
      <w:pPr>
        <w:pStyle w:val="Heading3"/>
      </w:pPr>
      <w:r>
        <w:t xml:space="preserve">Key Responsibilities in this Context</w:t>
      </w:r>
    </w:p>
    <w:p>
      <w:pPr>
        <w:numPr>
          <w:ilvl w:val="0"/>
          <w:numId w:val="1001"/>
        </w:numPr>
        <w:pStyle w:val="Compact"/>
      </w:pPr>
      <w:r>
        <w:rPr>
          <w:bCs/>
          <w:b/>
        </w:rPr>
        <w:t xml:space="preserve">Government Relations Integration:</w:t>
      </w:r>
      <w:r>
        <w:t xml:space="preserve">The</w:t>
      </w:r>
      <w:r>
        <w:t xml:space="preserve"> </w:t>
      </w:r>
      <w:r>
        <w:rPr>
          <w:bCs/>
          <w:b/>
        </w:rPr>
        <w:t xml:space="preserve">Marketing Manager</w:t>
      </w:r>
    </w:p>
    <w:p>
      <w:pPr>
        <w:numPr>
          <w:ilvl w:val="0"/>
          <w:numId w:val="1000"/>
        </w:numPr>
        <w:pStyle w:val="Compact"/>
      </w:pPr>
      <w:r>
        <w:t xml:space="preserve">Brazil Brasília, a misstep in tone can be perceived as political insensitivity, damaging brand equity instantly.</w:t>
      </w:r>
    </w:p>
    <w:p>
      <w:pPr>
        <w:numPr>
          <w:ilvl w:val="0"/>
          <w:numId w:val="1001"/>
        </w:numPr>
        <w:pStyle w:val="Compact"/>
      </w:pPr>
      <w:r>
        <w:rPr>
          <w:bCs/>
          <w:b/>
        </w:rPr>
        <w:t xml:space="preserve">B2B and B2G Strategy Development:</w:t>
      </w:r>
      <w:r>
        <w:t xml:space="preserve">While consumer marketing exists, the bulk of high-value opportunities lie in serving government contracts or corporate headquarters. The</w:t>
      </w:r>
      <w:r>
        <w:t xml:space="preserve"> </w:t>
      </w:r>
      <w:r>
        <w:rPr>
          <w:bCs/>
          <w:b/>
        </w:rPr>
        <w:t xml:space="preserve">Marketing Manager</w:t>
      </w:r>
    </w:p>
    <w:p>
      <w:pPr>
        <w:numPr>
          <w:ilvl w:val="0"/>
          <w:numId w:val="1001"/>
        </w:numPr>
        <w:pStyle w:val="Compact"/>
      </w:pPr>
      <w:r>
        <w:rPr>
          <w:bCs/>
          <w:b/>
        </w:rPr>
        <w:t xml:space="preserve">Diplomatic Engagement:</w:t>
      </w:r>
      <w:r>
        <w:t xml:space="preserve">Given the concentration of international embassies in</w:t>
      </w:r>
      <w:r>
        <w:rPr>
          <w:bCs/>
          <w:b/>
        </w:rPr>
        <w:t xml:space="preserve">Brazil Brasília</w:t>
      </w:r>
      <w:r>
        <w:t xml:space="preserve">, a successful marketing strategy often involves cross-cultural communication. The</w:t>
      </w:r>
    </w:p>
    <w:p>
      <w:pPr>
        <w:numPr>
          <w:ilvl w:val="0"/>
          <w:numId w:val="1000"/>
        </w:numPr>
        <w:pStyle w:val="Compact"/>
      </w:pPr>
      <w:r>
        <w:t xml:space="preserve">Marketing Manager</w:t>
      </w:r>
    </w:p>
    <w:bookmarkEnd w:id="22"/>
    <w:bookmarkEnd w:id="23"/>
    <w:bookmarkStart w:id="28" w:name="Xe6f1609967031cda4c0ce99d63ac700f3567d3a"/>
    <w:p>
      <w:pPr>
        <w:pStyle w:val="Heading2"/>
      </w:pPr>
      <w:r>
        <w:t xml:space="preserve">Case Scenario: The Green Tech Expansion Project</w:t>
      </w:r>
    </w:p>
    <w:p>
      <w:pPr>
        <w:pStyle w:val="FirstParagraph"/>
      </w:pPr>
      <w:r>
        <w:t xml:space="preserve">To illustrate these challenges, consider a hypothetical scenario involving an international renewable energy firm looking to expand its footprint in</w:t>
      </w:r>
      <w:r>
        <w:rPr>
          <w:bCs/>
          <w:b/>
        </w:rPr>
        <w:t xml:space="preserve">Brazil Brasília</w:t>
      </w:r>
      <w:r>
        <w:t xml:space="preserve">. The company aims to promote solar energy solutions for government buildings. Appointed as the</w:t>
      </w:r>
    </w:p>
    <w:p>
      <w:pPr>
        <w:pStyle w:val="BodyText"/>
      </w:pPr>
      <w:r>
        <w:t xml:space="preserve">Marketing Manager</w:t>
      </w:r>
    </w:p>
    <w:p>
      <w:pPr>
        <w:pStyle w:val="BodyText"/>
      </w:pPr>
      <w:r>
        <w:t xml:space="preserve">, the lead faces several hurdles.</w:t>
      </w:r>
    </w:p>
    <w:bookmarkStart w:id="24" w:name="the-challenge"/>
    <w:p>
      <w:pPr>
        <w:pStyle w:val="Heading3"/>
      </w:pPr>
      <w:r>
        <w:t xml:space="preserve">The Challenge</w:t>
      </w:r>
    </w:p>
    <w:p>
      <w:pPr>
        <w:pStyle w:val="FirstParagraph"/>
      </w:pPr>
      <w:r>
        <w:t xml:space="preserve">The initial approach focused on traditional ROI metrics and cost savings, which failed to resonate with federal officials in</w:t>
      </w:r>
      <w:r>
        <w:rPr>
          <w:bCs/>
          <w:b/>
        </w:rPr>
        <w:t xml:space="preserve">Brazil Brasília</w:t>
      </w:r>
      <w:r>
        <w:t xml:space="preserve">. The bureaucracy was skeptical of foreign entities prioritizing profit over public good. Furthermore, the competitive landscape included local firms with deep-rooted political connections.</w:t>
      </w:r>
    </w:p>
    <w:bookmarkEnd w:id="24"/>
    <w:bookmarkStart w:id="25" w:name="the-strategic-pivot"/>
    <w:p>
      <w:pPr>
        <w:pStyle w:val="Heading3"/>
      </w:pPr>
      <w:r>
        <w:t xml:space="preserve">The Strategic Pivot</w:t>
      </w:r>
    </w:p>
    <w:p>
      <w:pPr>
        <w:pStyle w:val="FirstParagraph"/>
      </w:pPr>
      <w:r>
        <w:t xml:space="preserve">The</w:t>
      </w:r>
    </w:p>
    <w:p>
      <w:pPr>
        <w:pStyle w:val="BodyText"/>
      </w:pPr>
      <w:r>
        <w:t xml:space="preserve">Marketing Manager</w:t>
      </w:r>
    </w:p>
    <w:bookmarkEnd w:id="25"/>
    <w:bookmarkStart w:id="26" w:name="implementation"/>
    <w:p>
      <w:pPr>
        <w:pStyle w:val="Heading3"/>
      </w:pPr>
      <w:r>
        <w:t xml:space="preserve">Implementation</w:t>
      </w:r>
    </w:p>
    <w:p>
      <w:pPr>
        <w:pStyle w:val="FirstParagraph"/>
      </w:pPr>
      <w:r>
        <w:t xml:space="preserve">Leveraging local partnerships, the</w:t>
      </w:r>
    </w:p>
    <w:p>
      <w:pPr>
        <w:pStyle w:val="BodyText"/>
      </w:pPr>
      <w:r>
        <w:t xml:space="preserve">Marketing Manager</w:t>
      </w:r>
    </w:p>
    <w:p>
      <w:pPr>
        <w:pStyle w:val="BodyText"/>
      </w:pPr>
      <w:r>
        <w:t xml:space="preserve">Brazil Brasília, inviting key policymakers to discuss sustainable urban planning. These events were not sales pitches but educational platforms, positioning the company as a thought leader. Simultaneously, digital campaigns targeted specific professional networks within the capital, using data-driven insights to identify decision-makers interested in innovation.</w:t>
      </w:r>
    </w:p>
    <w:bookmarkEnd w:id="26"/>
    <w:bookmarkStart w:id="27" w:name="the-outcome"/>
    <w:p>
      <w:pPr>
        <w:pStyle w:val="Heading3"/>
      </w:pPr>
      <w:r>
        <w:t xml:space="preserve">The Outcome</w:t>
      </w:r>
    </w:p>
    <w:p>
      <w:pPr>
        <w:pStyle w:val="FirstParagraph"/>
      </w:pPr>
      <w:r>
        <w:t xml:space="preserve">Within six months, the strategy yielded significant results. The company secured three major pilot projects with federal ministries. More importantly, they established a reputation for reliability and cultural alignment in</w:t>
      </w:r>
      <w:r>
        <w:rPr>
          <w:bCs/>
          <w:b/>
        </w:rPr>
        <w:t xml:space="preserve">Brazil Brasília</w:t>
      </w:r>
      <w:r>
        <w:t xml:space="preserve">. The success was attributed to the</w:t>
      </w:r>
    </w:p>
    <w:p>
      <w:pPr>
        <w:pStyle w:val="BodyText"/>
      </w:pPr>
      <w:r>
        <w:t xml:space="preserve">Marketing Manager</w:t>
      </w:r>
    </w:p>
    <w:bookmarkEnd w:id="27"/>
    <w:bookmarkEnd w:id="28"/>
    <w:bookmarkStart w:id="29" w:name="X32e5f965a3d9cde258144966bfdb040cc6dd0ac"/>
    <w:p>
      <w:pPr>
        <w:pStyle w:val="Heading2"/>
      </w:pPr>
      <w:r>
        <w:t xml:space="preserve">Skills Required for Success in Brazil Brasília</w:t>
      </w:r>
    </w:p>
    <w:p>
      <w:pPr>
        <w:pStyle w:val="FirstParagraph"/>
      </w:pPr>
      <w:r>
        <w:t xml:space="preserve">This case study underscores that the title of</w:t>
      </w:r>
      <w:r>
        <w:t xml:space="preserve"> </w:t>
      </w:r>
      <w:r>
        <w:rPr>
          <w:bCs/>
          <w:b/>
        </w:rPr>
        <w:t xml:space="preserve">Marketing Manager</w:t>
      </w:r>
    </w:p>
    <w:p>
      <w:pPr>
        <w:pStyle w:val="BodyText"/>
      </w:pPr>
      <w:r>
        <w:t xml:space="preserve">Brazil Brasília</w:t>
      </w:r>
    </w:p>
    <w:p>
      <w:pPr>
        <w:numPr>
          <w:ilvl w:val="0"/>
          <w:numId w:val="1002"/>
        </w:numPr>
        <w:pStyle w:val="Compact"/>
      </w:pPr>
      <w:r>
        <w:rPr>
          <w:bCs/>
          <w:b/>
        </w:rPr>
        <w:t xml:space="preserve">Cultural Fluency:</w:t>
      </w:r>
      <w:r>
        <w:t xml:space="preserve">A deep understanding of Brazilian political culture and the unique social dynamics of the Federal District.</w:t>
      </w:r>
    </w:p>
    <w:p>
      <w:pPr>
        <w:numPr>
          <w:ilvl w:val="0"/>
          <w:numId w:val="1002"/>
        </w:numPr>
        <w:pStyle w:val="Compact"/>
      </w:pPr>
      <w:r>
        <w:rPr>
          <w:bCs/>
          <w:b/>
        </w:rPr>
        <w:t xml:space="preserve">Negotiation Skills:</w:t>
      </w:r>
      <w:r>
        <w:t xml:space="preserve">Essential for dealing with public sector procurement processes that are often lengthy and complex.</w:t>
      </w:r>
    </w:p>
    <w:p>
      <w:pPr>
        <w:numPr>
          <w:ilvl w:val="0"/>
          <w:numId w:val="1002"/>
        </w:numPr>
        <w:pStyle w:val="Compact"/>
      </w:pPr>
      <w:r>
        <w:t xml:space="preserve">Digital Agility:While face-to-face interaction is crucial in</w:t>
      </w:r>
      <w:r>
        <w:rPr>
          <w:bCs/>
          <w:b/>
        </w:rPr>
        <w:t xml:space="preserve">Brazil Brasília</w:t>
      </w:r>
      <w:r>
        <w:t xml:space="preserve">Marketing Manager</w:t>
      </w:r>
    </w:p>
    <w:p>
      <w:pPr>
        <w:numPr>
          <w:ilvl w:val="0"/>
          <w:numId w:val="1002"/>
        </w:numPr>
        <w:pStyle w:val="Compact"/>
      </w:pPr>
      <w:r>
        <w:rPr>
          <w:bCs/>
          <w:b/>
        </w:rPr>
        <w:t xml:space="preserve">Crisis Management:</w:t>
      </w:r>
      <w:r>
        <w:t xml:space="preserve">In a highly visible political capital, any brand controversy can escalate quickly. Preparedness for rapid response is vital.</w:t>
      </w:r>
    </w:p>
    <w:bookmarkEnd w:id="29"/>
    <w:bookmarkStart w:id="30" w:name="conclusion"/>
    <w:p>
      <w:pPr>
        <w:pStyle w:val="Heading2"/>
      </w:pPr>
      <w:r>
        <w:t xml:space="preserve">Conclusion</w:t>
      </w:r>
    </w:p>
    <w:p>
      <w:pPr>
        <w:pStyle w:val="FirstParagraph"/>
      </w:pPr>
      <w:r>
        <w:t xml:space="preserve">The case of the renewable energy firm in</w:t>
      </w:r>
      <w:r>
        <w:rPr>
          <w:bCs/>
          <w:b/>
        </w:rPr>
        <w:t xml:space="preserve">Brazil Brasília</w:t>
      </w:r>
      <w:r>
        <w:t xml:space="preserve">Marketing Manager</w:t>
      </w:r>
    </w:p>
    <w:p>
      <w:pPr>
        <w:pStyle w:val="BodyText"/>
      </w:pPr>
      <w:r>
        <w:t xml:space="preserve">Brazil Brasília.</w:t>
      </w:r>
    </w:p>
    <w:p>
      <w:pPr>
        <w:pStyle w:val="BodyText"/>
      </w:pPr>
      <w:r>
        <w:t xml:space="preserve">For organizations looking to operate in this region, investing in a</w:t>
      </w:r>
      <w:r>
        <w:t xml:space="preserve"> </w:t>
      </w:r>
      <w:r>
        <w:rPr>
          <w:bCs/>
          <w:b/>
        </w:rPr>
        <w:t xml:space="preserve">Marketing ManagerBrazil Brasília</w:t>
      </w:r>
    </w:p>
    <w:p>
      <w:pPr>
        <w:pStyle w:val="BodyText"/>
      </w:pPr>
      <w:r>
        <w:t xml:space="preserve">This case study serves as a blueprint for future marketing leaders aiming to navigate the intricate landscape of Brazil's capital. It reinforces that in</w:t>
      </w:r>
      <w:r>
        <w:rPr>
          <w:bCs/>
          <w:b/>
        </w:rPr>
        <w:t xml:space="preserve">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Brazil Brasília</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