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d1fa6468f8835541a299eae93271c7ca3de6d3b"/>
    <w:p>
      <w:pPr>
        <w:pStyle w:val="Heading1"/>
      </w:pPr>
      <w:r>
        <w:t xml:space="preserve">Navigating the Digital and Cultural Labyrinth: A Case Study on the Marketing Manager Role in Malaysia Kuala Lumpur</w:t>
      </w:r>
    </w:p>
    <w:bookmarkStart w:id="20" w:name="executive-summary"/>
    <w:p>
      <w:pPr>
        <w:pStyle w:val="Heading2"/>
      </w:pPr>
      <w:r>
        <w:t xml:space="preserve">Executive Summary</w:t>
      </w:r>
    </w:p>
    <w:p>
      <w:pPr>
        <w:pStyle w:val="FirstParagraph"/>
      </w:pPr>
      <w:r>
        <w:t xml:space="preserve">In the rapidly evolving economic landscape of Southeast Asia,</w:t>
      </w:r>
      <w:r>
        <w:t xml:space="preserve"> </w:t>
      </w:r>
      <w:r>
        <w:rPr>
          <w:bCs/>
          <w:b/>
        </w:rPr>
        <w:t xml:space="preserve">Kuala Lumpur, Malaysia</w:t>
      </w:r>
      <w:r>
        <w:t xml:space="preserve">, stands out as a critical hub for multinational corporations and innovative local enterprises alike. Within this dynamic city-state context, the role of the</w:t>
      </w:r>
      <w:r>
        <w:t xml:space="preserve"> </w:t>
      </w:r>
      <w:r>
        <w:rPr>
          <w:bCs/>
          <w:b/>
        </w:rPr>
        <w:t xml:space="preserve">Marketing Manager</w:t>
      </w:r>
      <w:r>
        <w:t xml:space="preserve"> </w:t>
      </w:r>
      <w:r>
        <w:t xml:space="preserve">has transcended traditional brand management to become a complex strategic function requiring deep cultural nuance and digital agility. This case study examines how a leading regional fintech company, "FinFlow Asia," adapted its marketing strategy in</w:t>
      </w:r>
      <w:r>
        <w:t xml:space="preserve"> </w:t>
      </w:r>
      <w:r>
        <w:rPr>
          <w:bCs/>
          <w:b/>
        </w:rPr>
        <w:t xml:space="preserve">Kuala Lumpur, Malaysia</w:t>
      </w:r>
      <w:r>
        <w:t xml:space="preserve">, by empowering its local</w:t>
      </w:r>
      <w:r>
        <w:t xml:space="preserve"> </w:t>
      </w:r>
      <w:r>
        <w:rPr>
          <w:bCs/>
          <w:b/>
        </w:rPr>
        <w:t xml:space="preserve">Marketing Manager</w:t>
      </w:r>
      <w:r>
        <w:t xml:space="preserve"> </w:t>
      </w:r>
      <w:r>
        <w:t xml:space="preserve">to bridge the gap between global corporate directives and hyper-local consumer behaviors.</w:t>
      </w:r>
    </w:p>
    <w:bookmarkEnd w:id="20"/>
    <w:bookmarkStart w:id="21" w:name="background-and-context"/>
    <w:p>
      <w:pPr>
        <w:pStyle w:val="Heading2"/>
      </w:pPr>
      <w:r>
        <w:t xml:space="preserve">Background and Context</w:t>
      </w:r>
    </w:p>
    <w:p>
      <w:pPr>
        <w:pStyle w:val="FirstParagraph"/>
      </w:pPr>
      <w:r>
        <w:t xml:space="preserve">The subject of this case study is a hypothetical but representative scenario involving FinFlow Asia, a financial technology firm expanding its digital banking services across Southeast Asia. While Singapore served as the regional headquarters for operational logic,</w:t>
      </w:r>
      <w:r>
        <w:t xml:space="preserve"> </w:t>
      </w:r>
      <w:r>
        <w:rPr>
          <w:bCs/>
          <w:b/>
        </w:rPr>
        <w:t xml:space="preserve">Kuala Lumpur, Malaysia</w:t>
      </w:r>
      <w:r>
        <w:t xml:space="preserve">, was identified as the primary growth market due to its large young population and high smartphone penetration. However initial marketing campaigns designed in Singapore failed to resonate with local consumers.</w:t>
      </w:r>
    </w:p>
    <w:p>
      <w:pPr>
        <w:pStyle w:val="BodyText"/>
      </w:pPr>
      <w:r>
        <w:t xml:space="preserve">The core challenge lay in understanding that</w:t>
      </w:r>
      <w:r>
        <w:t xml:space="preserve"> </w:t>
      </w:r>
      <w:r>
        <w:rPr>
          <w:bCs/>
          <w:b/>
        </w:rPr>
        <w:t xml:space="preserve">Malaysia Kuala Lumpur</w:t>
      </w:r>
      <w:r>
        <w:t xml:space="preserve"> </w:t>
      </w:r>
      <w:r>
        <w:t xml:space="preserve">is not a monolithic market. It is a multicultural melting pot comprising Malay, Chinese, Indian, and indigenous populations, each with distinct values, religious observances (particularly regarding Islamic finance principles for the majority Muslim population), and digital consumption habits. The appointed</w:t>
      </w:r>
      <w:r>
        <w:t xml:space="preserve"> </w:t>
      </w:r>
      <w:r>
        <w:rPr>
          <w:bCs/>
          <w:b/>
        </w:rPr>
        <w:t xml:space="preserve">Marketing Manager</w:t>
      </w:r>
      <w:r>
        <w:t xml:space="preserve"> </w:t>
      </w:r>
      <w:r>
        <w:t xml:space="preserve">in</w:t>
      </w:r>
      <w:r>
        <w:t xml:space="preserve"> </w:t>
      </w:r>
      <w:r>
        <w:rPr>
          <w:bCs/>
          <w:b/>
        </w:rPr>
        <w:t xml:space="preserve">Kuala Lumpur</w:t>
      </w:r>
      <w:r>
        <w:t xml:space="preserve">, Ms. Aisyah Rahman (pseudonym), faced the task of localizing a global brand identity without diluting its core value proposition.</w:t>
      </w:r>
    </w:p>
    <w:bookmarkEnd w:id="21"/>
    <w:bookmarkStart w:id="22" w:name="X69af053b5b377b24d51fa05288628041a536db4"/>
    <w:p>
      <w:pPr>
        <w:pStyle w:val="Heading2"/>
      </w:pPr>
      <w:r>
        <w:t xml:space="preserve">The Challenge: Cultural Complexity and Digital Saturation</w:t>
      </w:r>
    </w:p>
    <w:p>
      <w:pPr>
        <w:pStyle w:val="FirstParagraph"/>
      </w:pPr>
      <w:r>
        <w:t xml:space="preserve">Mrs. Rahman identified three primary barriers to market entry in</w:t>
      </w:r>
      <w:r>
        <w:t xml:space="preserve"> </w:t>
      </w:r>
      <w:r>
        <w:rPr>
          <w:bCs/>
          <w:b/>
        </w:rPr>
        <w:t xml:space="preserve">Kuala Lumpur, Malaysia</w:t>
      </w:r>
      <w:r>
        <w:t xml:space="preserve">:</w:t>
      </w:r>
    </w:p>
    <w:p>
      <w:pPr>
        <w:numPr>
          <w:ilvl w:val="0"/>
          <w:numId w:val="1001"/>
        </w:numPr>
        <w:pStyle w:val="Compact"/>
      </w:pPr>
      <w:r>
        <w:t xml:space="preserve">Cultural Disconnect: The global campaign relied heavily on Western individualism, which did not align with the collectivist and community-oriented values prevalent in Malaysian society.</w:t>
      </w:r>
    </w:p>
    <w:p>
      <w:pPr>
        <w:numPr>
          <w:ilvl w:val="0"/>
          <w:numId w:val="1001"/>
        </w:numPr>
        <w:pStyle w:val="Compact"/>
      </w:pPr>
      <w:r>
        <w:t xml:space="preserve">Spiritual Sensitivity: The lack of emphasis on Shariah-compliant financial practices alienated a significant portion of the Muslim demographic in</w:t>
      </w:r>
      <w:r>
        <w:t xml:space="preserve"> </w:t>
      </w:r>
      <w:r>
        <w:rPr>
          <w:bCs/>
          <w:b/>
        </w:rPr>
        <w:t xml:space="preserve">Kuala Lumpur</w:t>
      </w:r>
      <w:r>
        <w:t xml:space="preserve">.</w:t>
      </w:r>
    </w:p>
    <w:p>
      <w:pPr>
        <w:numPr>
          <w:ilvl w:val="0"/>
          <w:numId w:val="1001"/>
        </w:numPr>
        <w:pStyle w:val="Compact"/>
      </w:pPr>
      <w:r>
        <w:t xml:space="preserve">Digital Fragmentation: While global analytics pointed to Facebook as the primary channel, local data showed that TikTok and WhatsApp were significantly more influential for peer-to-peer recommendations among Malaysians.</w:t>
      </w:r>
    </w:p>
    <w:p>
      <w:pPr>
        <w:pStyle w:val="FirstParagraph"/>
      </w:pPr>
      <w:r>
        <w:t xml:space="preserve">As the</w:t>
      </w:r>
      <w:r>
        <w:t xml:space="preserve"> </w:t>
      </w:r>
      <w:r>
        <w:rPr>
          <w:bCs/>
          <w:b/>
        </w:rPr>
        <w:t xml:space="preserve">Marketing Manager</w:t>
      </w:r>
      <w:r>
        <w:t xml:space="preserve">, Mrs. Rahman had to pivot the strategy from a "global rollout" approach to a "glocal" (global yet local) strategy tailored specifically for</w:t>
      </w:r>
      <w:r>
        <w:t xml:space="preserve"> </w:t>
      </w:r>
      <w:r>
        <w:rPr>
          <w:bCs/>
          <w:b/>
        </w:rPr>
        <w:t xml:space="preserve">Kuala Lumpur, Malaysia</w:t>
      </w:r>
      <w:r>
        <w:t xml:space="preserve">.</w:t>
      </w:r>
    </w:p>
    <w:bookmarkEnd w:id="22"/>
    <w:bookmarkStart w:id="23" w:name="X1abc2a08c7169ca7535fc42e734682f63f6626f"/>
    <w:p>
      <w:pPr>
        <w:pStyle w:val="Heading2"/>
      </w:pPr>
      <w:r>
        <w:t xml:space="preserve">The Strategy: Hyper-Local Engagement and Trust Building</w:t>
      </w:r>
    </w:p>
    <w:p>
      <w:pPr>
        <w:pStyle w:val="FirstParagraph"/>
      </w:pPr>
      <w:r>
        <w:t xml:space="preserve">To address these challenges, the</w:t>
      </w:r>
      <w:r>
        <w:t xml:space="preserve"> </w:t>
      </w:r>
      <w:r>
        <w:rPr>
          <w:bCs/>
          <w:b/>
        </w:rPr>
        <w:t xml:space="preserve">Marketing Manager</w:t>
      </w:r>
      <w:r>
        <w:t xml:space="preserve"> </w:t>
      </w:r>
      <w:r>
        <w:t xml:space="preserve">implemented a multi-faceted campaign titled "Finance For Everyone, For Malaysia." The strategy focused on three pillars:</w:t>
      </w:r>
    </w:p>
    <w:p>
      <w:pPr>
        <w:numPr>
          <w:ilvl w:val="0"/>
          <w:numId w:val="1002"/>
        </w:numPr>
        <w:pStyle w:val="Compact"/>
      </w:pPr>
      <w:r>
        <w:t xml:space="preserve">Cultural Localization of Content: Instead of using generic stock photography, campaigns featured real Malaysian families in familiar</w:t>
      </w:r>
      <w:r>
        <w:t xml:space="preserve"> </w:t>
      </w:r>
      <w:r>
        <w:rPr>
          <w:bCs/>
          <w:b/>
        </w:rPr>
        <w:t xml:space="preserve">Kuala Lumpur</w:t>
      </w:r>
      <w:r>
        <w:t xml:space="preserve"> </w:t>
      </w:r>
      <w:r>
        <w:t xml:space="preserve">settings such as Petronas Twin Towers backdrop, local kopitiams, and bustling street markets. The messaging shifted from "Independence" to "Community Growth" and "Family Security."</w:t>
      </w:r>
    </w:p>
    <w:p>
      <w:pPr>
        <w:numPr>
          <w:ilvl w:val="0"/>
          <w:numId w:val="1002"/>
        </w:numPr>
        <w:pStyle w:val="Compact"/>
      </w:pPr>
      <w:r>
        <w:t xml:space="preserve">Influencer Partnerships with Religious Endorsements: Recognizing the importance of trust in financial matters within</w:t>
      </w:r>
      <w:r>
        <w:t xml:space="preserve"> </w:t>
      </w:r>
      <w:r>
        <w:rPr>
          <w:bCs/>
          <w:b/>
        </w:rPr>
        <w:t xml:space="preserve">Kuala Lumpur</w:t>
      </w:r>
      <w:r>
        <w:t xml:space="preserve">, Malaysia, the team collaborated not only with lifestyle influencers but also with respected local religious scholars. These endorsements validated the app’s Shariah-compliance features, a critical differentiator in</w:t>
      </w:r>
      <w:r>
        <w:t xml:space="preserve"> </w:t>
      </w:r>
      <w:r>
        <w:rPr>
          <w:bCs/>
          <w:b/>
        </w:rPr>
        <w:t xml:space="preserve">Malaysia Kuala Lumpur</w:t>
      </w:r>
      <w:r>
        <w:t xml:space="preserve">.</w:t>
      </w:r>
    </w:p>
    <w:p>
      <w:pPr>
        <w:numPr>
          <w:ilvl w:val="0"/>
          <w:numId w:val="1002"/>
        </w:numPr>
        <w:pStyle w:val="Compact"/>
      </w:pPr>
      <w:r>
        <w:t xml:space="preserve">Leveraging Super-App Ecosystems: Understanding that Malaysians live on their phones, the</w:t>
      </w:r>
      <w:r>
        <w:t xml:space="preserve"> </w:t>
      </w:r>
      <w:r>
        <w:rPr>
          <w:bCs/>
          <w:b/>
        </w:rPr>
        <w:t xml:space="preserve">Marketing Manager</w:t>
      </w:r>
      <w:r>
        <w:t xml:space="preserve"> </w:t>
      </w:r>
      <w:r>
        <w:t xml:space="preserve">integrated marketing touchpoints directly into WhatsApp and Telegram bots. This allowed for personalized financial advice and customer service within the apps users already used daily.</w:t>
      </w:r>
    </w:p>
    <w:bookmarkEnd w:id="23"/>
    <w:bookmarkStart w:id="24" w:name="execution-in-kuala-lumpur"/>
    <w:p>
      <w:pPr>
        <w:pStyle w:val="Heading2"/>
      </w:pPr>
      <w:r>
        <w:t xml:space="preserve">Execution in Kuala Lumpur</w:t>
      </w:r>
    </w:p>
    <w:p>
      <w:pPr>
        <w:pStyle w:val="FirstParagraph"/>
      </w:pPr>
      <w:r>
        <w:t xml:space="preserve">The execution phase required the</w:t>
      </w:r>
      <w:r>
        <w:t xml:space="preserve"> </w:t>
      </w:r>
      <w:r>
        <w:rPr>
          <w:bCs/>
          <w:b/>
        </w:rPr>
        <w:t xml:space="preserve">Marketing Manager</w:t>
      </w:r>
      <w:r>
        <w:t xml:space="preserve"> </w:t>
      </w:r>
      <w:r>
        <w:t xml:space="preserve">to navigate regulatory frameworks specific to</w:t>
      </w:r>
      <w:r>
        <w:t xml:space="preserve"> </w:t>
      </w:r>
      <w:r>
        <w:rPr>
          <w:bCs/>
          <w:b/>
        </w:rPr>
        <w:t xml:space="preserve">Kuala Lumpur, Malaysia</w:t>
      </w:r>
      <w:r>
        <w:t xml:space="preserve">, including guidelines set by Bank Negara Malaysia (the central bank) and the Personal Data Protection Act. Compliance was not just a legal requirement but a marketing asset; transparency about data security was highlighted prominently in all materials.</w:t>
      </w:r>
    </w:p>
    <w:p>
      <w:pPr>
        <w:pStyle w:val="BodyText"/>
      </w:pPr>
      <w:r>
        <w:t xml:space="preserve">Furthermore, timing played a crucial role. The</w:t>
      </w:r>
      <w:r>
        <w:t xml:space="preserve"> </w:t>
      </w:r>
      <w:r>
        <w:rPr>
          <w:bCs/>
          <w:b/>
        </w:rPr>
        <w:t xml:space="preserve">Marketing Manager</w:t>
      </w:r>
      <w:r>
        <w:t xml:space="preserve"> </w:t>
      </w:r>
      <w:r>
        <w:t xml:space="preserve">aligned key promotional bursts with significant cultural events in</w:t>
      </w:r>
      <w:r>
        <w:t xml:space="preserve"> </w:t>
      </w:r>
      <w:r>
        <w:rPr>
          <w:bCs/>
          <w:b/>
        </w:rPr>
        <w:t xml:space="preserve">Kuala Lumpur</w:t>
      </w:r>
      <w:r>
        <w:t xml:space="preserve">, such as Hari Raya Aidilfitri and Chinese New Year. During these periods, the campaign offered special referral bonuses framed as "sharing prosperity" rather than aggressive sales tactics, respecting the communal spirit of these festivals.</w:t>
      </w:r>
    </w:p>
    <w:bookmarkEnd w:id="24"/>
    <w:bookmarkStart w:id="25" w:name="results-and-impact"/>
    <w:p>
      <w:pPr>
        <w:pStyle w:val="Heading2"/>
      </w:pPr>
      <w:r>
        <w:t xml:space="preserve">Results and Impact</w:t>
      </w:r>
    </w:p>
    <w:p>
      <w:pPr>
        <w:pStyle w:val="FirstParagraph"/>
      </w:pPr>
      <w:r>
        <w:t xml:space="preserve">The results were transformative for FinFlow Asia in</w:t>
      </w:r>
      <w:r>
        <w:t xml:space="preserve"> </w:t>
      </w:r>
      <w:r>
        <w:rPr>
          <w:bCs/>
          <w:b/>
        </w:rPr>
        <w:t xml:space="preserve">Kuala Lumpur, Malaysia</w:t>
      </w:r>
      <w:r>
        <w:t xml:space="preserve">. Within six months:</w:t>
      </w:r>
    </w:p>
    <w:p>
      <w:pPr>
        <w:numPr>
          <w:ilvl w:val="0"/>
          <w:numId w:val="1003"/>
        </w:numPr>
        <w:pStyle w:val="Compact"/>
      </w:pPr>
      <w:r>
        <w:t xml:space="preserve">User Acquisition increased by 45% compared to the initial global-standard campaigns.</w:t>
      </w:r>
    </w:p>
    <w:p>
      <w:pPr>
        <w:numPr>
          <w:ilvl w:val="0"/>
          <w:numId w:val="1003"/>
        </w:numPr>
        <w:pStyle w:val="Compact"/>
      </w:pPr>
      <w:r>
        <w:t xml:space="preserve">Customer Trust Scores, measured via net promoter score (NPS), rose significantly among Muslim demographics in</w:t>
      </w:r>
      <w:r>
        <w:t xml:space="preserve"> </w:t>
      </w:r>
      <w:r>
        <w:rPr>
          <w:bCs/>
          <w:b/>
        </w:rPr>
        <w:t xml:space="preserve">Kuala Lumpur</w:t>
      </w:r>
      <w:r>
        <w:t xml:space="preserve">.</w:t>
      </w:r>
    </w:p>
    <w:p>
      <w:pPr>
        <w:numPr>
          <w:ilvl w:val="0"/>
          <w:numId w:val="1003"/>
        </w:numPr>
        <w:pStyle w:val="Compact"/>
      </w:pPr>
      <w:r>
        <w:t xml:space="preserve">The brand was recognized as a local favorite rather than an outsider entity in</w:t>
      </w:r>
      <w:r>
        <w:t xml:space="preserve"> </w:t>
      </w:r>
      <w:r>
        <w:rPr>
          <w:bCs/>
          <w:b/>
        </w:rPr>
        <w:t xml:space="preserve">Malaysia Kuala Lumpur</w:t>
      </w:r>
      <w:r>
        <w:t xml:space="preserve">.</w:t>
      </w:r>
    </w:p>
    <w:p>
      <w:pPr>
        <w:pStyle w:val="FirstParagraph"/>
      </w:pPr>
      <w:r>
        <w:t xml:space="preserve">The success demonstrated that the role of the</w:t>
      </w:r>
      <w:r>
        <w:t xml:space="preserve"> </w:t>
      </w:r>
      <w:r>
        <w:rPr>
          <w:bCs/>
          <w:b/>
        </w:rPr>
        <w:t xml:space="preserve">Marketing Manager</w:t>
      </w:r>
      <w:r>
        <w:t xml:space="preserve"> </w:t>
      </w:r>
      <w:r>
        <w:t xml:space="preserve">is not merely about executing campaigns but about acting as a cultural translator. By understanding the nuances of</w:t>
      </w:r>
      <w:r>
        <w:t xml:space="preserve"> </w:t>
      </w:r>
      <w:r>
        <w:rPr>
          <w:bCs/>
          <w:b/>
        </w:rPr>
        <w:t xml:space="preserve">Kuala Lumpur, Malaysia</w:t>
      </w:r>
      <w:r>
        <w:t xml:space="preserve">, Mrs. Rahman successfully positioned FinFlow Asia as a brand that respected and understood local values.</w:t>
      </w:r>
    </w:p>
    <w:bookmarkEnd w:id="25"/>
    <w:bookmarkStart w:id="26" w:name="X9999dd36db301a5ced4334c23edab634dad7698"/>
    <w:p>
      <w:pPr>
        <w:pStyle w:val="Heading2"/>
      </w:pPr>
      <w:r>
        <w:t xml:space="preserve">Key Takeaways for Marketing Managers in Emerging Markets</w:t>
      </w:r>
    </w:p>
    <w:p>
      <w:pPr>
        <w:pStyle w:val="FirstParagraph"/>
      </w:pPr>
      <w:r>
        <w:t xml:space="preserve">This case study offers several critical lessons for professionals aiming to succeed as a</w:t>
      </w:r>
      <w:r>
        <w:t xml:space="preserve"> </w:t>
      </w:r>
      <w:r>
        <w:rPr>
          <w:bCs/>
          <w:b/>
        </w:rPr>
        <w:t xml:space="preserve">Marketing Manager</w:t>
      </w:r>
      <w:r>
        <w:t xml:space="preserve"> </w:t>
      </w:r>
      <w:r>
        <w:t xml:space="preserve">in similar emerging markets:</w:t>
      </w:r>
    </w:p>
    <w:p>
      <w:pPr>
        <w:numPr>
          <w:ilvl w:val="0"/>
          <w:numId w:val="1004"/>
        </w:numPr>
        <w:pStyle w:val="Compact"/>
      </w:pPr>
      <w:r>
        <w:t xml:space="preserve">Cultural Intelligence is Paramount: In diverse cities like</w:t>
      </w:r>
      <w:r>
        <w:t xml:space="preserve"> </w:t>
      </w:r>
      <w:r>
        <w:rPr>
          <w:bCs/>
          <w:b/>
        </w:rPr>
        <w:t xml:space="preserve">Kuala Lumpur, Malaysia</w:t>
      </w:r>
      <w:r>
        <w:t xml:space="preserve">, one size does not fit all. Marketers must dissect sub-segments of the population and tailor messages accordingly.</w:t>
      </w:r>
    </w:p>
    <w:p>
      <w:pPr>
        <w:numPr>
          <w:ilvl w:val="0"/>
          <w:numId w:val="1004"/>
        </w:numPr>
        <w:pStyle w:val="Compact"/>
      </w:pPr>
      <w:r>
        <w:t xml:space="preserve">Digital Channels are Locally Specific: Global trends do not always apply locally. In</w:t>
      </w:r>
      <w:r>
        <w:t xml:space="preserve"> </w:t>
      </w:r>
      <w:r>
        <w:rPr>
          <w:bCs/>
          <w:b/>
        </w:rPr>
        <w:t xml:space="preserve">Kuala Lumpur</w:t>
      </w:r>
      <w:r>
        <w:t xml:space="preserve">, super-apps and messaging platforms often outrank traditional social media for engagement.</w:t>
      </w:r>
    </w:p>
    <w:p>
      <w:pPr>
        <w:numPr>
          <w:ilvl w:val="0"/>
          <w:numId w:val="1004"/>
        </w:numPr>
        <w:pStyle w:val="Compact"/>
      </w:pPr>
      <w:r>
        <w:t xml:space="preserve">Trust is the New Currency: In financial services, especially in markets with varying levels of financial literacy like parts of</w:t>
      </w:r>
      <w:r>
        <w:t xml:space="preserve"> </w:t>
      </w:r>
      <w:r>
        <w:rPr>
          <w:bCs/>
          <w:b/>
        </w:rPr>
        <w:t xml:space="preserve">Malaysia Kuala Lumpur</w:t>
      </w:r>
      <w:r>
        <w:t xml:space="preserve">, building trust through local endorsements and transparency is more effective than aggressive advertising.</w:t>
      </w:r>
    </w:p>
    <w:bookmarkEnd w:id="26"/>
    <w:bookmarkStart w:id="27" w:name="conclusion"/>
    <w:p>
      <w:pPr>
        <w:pStyle w:val="Heading2"/>
      </w:pPr>
      <w:r>
        <w:t xml:space="preserve">Conclusion</w:t>
      </w:r>
    </w:p>
    <w:p>
      <w:pPr>
        <w:pStyle w:val="FirstParagraph"/>
      </w:pPr>
      <w:r>
        <w:t xml:space="preserve">The case of FinFlow Asia illustrates that the effectiveness of a</w:t>
      </w:r>
      <w:r>
        <w:t xml:space="preserve"> </w:t>
      </w:r>
      <w:r>
        <w:rPr>
          <w:bCs/>
          <w:b/>
        </w:rPr>
        <w:t xml:space="preserve">Marketing Manager</w:t>
      </w:r>
      <w:r>
        <w:t xml:space="preserve"> </w:t>
      </w:r>
      <w:r>
        <w:t xml:space="preserve">is directly correlated with their ability to embed global strategies within local contexts. In</w:t>
      </w:r>
      <w:r>
        <w:t xml:space="preserve"> </w:t>
      </w:r>
      <w:r>
        <w:rPr>
          <w:bCs/>
          <w:b/>
        </w:rPr>
        <w:t xml:space="preserve">Kuala Lumpur, Malaysia</w:t>
      </w:r>
      <w:r>
        <w:t xml:space="preserve">, success requires more than budget and creativity; it demands empathy, cultural competence, and regulatory awareness. As the market in</w:t>
      </w:r>
      <w:r>
        <w:t xml:space="preserve"> </w:t>
      </w:r>
      <w:r>
        <w:rPr>
          <w:bCs/>
          <w:b/>
        </w:rPr>
        <w:t xml:space="preserve">Kuala Lumpur</w:t>
      </w:r>
      <w:r>
        <w:t xml:space="preserve"> </w:t>
      </w:r>
      <w:r>
        <w:t xml:space="preserve">continues to mature, the role of the</w:t>
      </w:r>
      <w:r>
        <w:t xml:space="preserve"> </w:t>
      </w:r>
      <w:r>
        <w:rPr>
          <w:bCs/>
          <w:b/>
        </w:rPr>
        <w:t xml:space="preserve">Marketing Manager</w:t>
      </w:r>
      <w:r>
        <w:t xml:space="preserve"> </w:t>
      </w:r>
      <w:r>
        <w:t xml:space="preserve">will only become more pivotal in navigating the complexities of a multicultural society. For businesses targeting</w:t>
      </w:r>
    </w:p>
    <w:p>
      <w:pPr>
        <w:pStyle w:val="BodyText"/>
      </w:pPr>
      <w:r>
        <w:t xml:space="preserve">Malaysia Kuala Lumpur, investing in a skilled local leadership team is not an option but a necessity for sustainable growth.</w:t>
      </w:r>
    </w:p>
    <w:p>
      <w:pPr>
        <w:pStyle w:val="BodyText"/>
      </w:pPr>
      <w:r>
        <w:t xml:space="preserve">This case study underscores that while technology and data are essential tools, the human element—the ability to connect with people in</w:t>
      </w:r>
      <w:r>
        <w:t xml:space="preserve"> </w:t>
      </w:r>
      <w:r>
        <w:rPr>
          <w:bCs/>
          <w:b/>
        </w:rPr>
        <w:t xml:space="preserve">Kuala Lumpur, Malaysia</w:t>
      </w:r>
      <w:r>
        <w:t xml:space="preserve"> </w:t>
      </w:r>
      <w:r>
        <w:t xml:space="preserve">on their own terms—remains the cornerstone of effective marketing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Malaysia Kuala Lumpur</dc:title>
  <dc:creator/>
  <dc:language>en</dc:language>
  <cp:keywords/>
  <dcterms:created xsi:type="dcterms:W3CDTF">2026-07-29T07:59:30Z</dcterms:created>
  <dcterms:modified xsi:type="dcterms:W3CDTF">2026-07-29T07:59:30Z</dcterms:modified>
</cp:coreProperties>
</file>

<file path=docProps/custom.xml><?xml version="1.0" encoding="utf-8"?>
<Properties xmlns="http://schemas.openxmlformats.org/officeDocument/2006/custom-properties" xmlns:vt="http://schemas.openxmlformats.org/officeDocument/2006/docPropsVTypes"/>
</file>