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Strategic</w:t>
      </w:r>
      <w:r>
        <w:t xml:space="preserve"> </w:t>
      </w:r>
      <w:r>
        <w:t xml:space="preserve">Expansion</w:t>
      </w:r>
      <w:r>
        <w:t xml:space="preserve"> </w:t>
      </w: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t xml:space="preserve">Algeria,</w:t>
      </w:r>
      <w:r>
        <w:t xml:space="preserve"> </w:t>
      </w:r>
      <w:r>
        <w:t xml:space="preserve">Algiers</w:t>
      </w:r>
    </w:p>
    <w:bookmarkStart w:id="34" w:name="X113a7ef7765c6154c160dcf969a2ac0bf1303aa"/>
    <w:p>
      <w:pPr>
        <w:pStyle w:val="Heading1"/>
      </w:pPr>
      <w:r>
        <w:t xml:space="preserve">Case Study: Mason’s Strategic Market Entry and Operational Excellence in Algeria, Algiers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Leadership Team</w:t>
      </w:r>
      <w:r>
        <w:br/>
      </w:r>
    </w:p>
    <w:bookmarkStart w:id="20" w:name="executive-summary"/>
    <w:p>
      <w:pPr>
        <w:pStyle w:val="Heading2"/>
      </w:pPr>
      <w:r>
        <w:t xml:space="preserve">Executive Summary</w:t>
      </w:r>
    </w:p>
    <w:bookmarkEnd w:id="20"/>
    <w:p>
      <w:pPr>
        <w:pStyle w:val="FirstParagraph"/>
      </w:pPr>
      <w:r>
        <w:t xml:space="preserve">This document outlines the strategic expansion of</w:t>
      </w:r>
      <w:r>
        <w:t xml:space="preserve"> </w:t>
      </w:r>
      <w:r>
        <w:rPr>
          <w:bCs/>
          <w:b/>
        </w:rPr>
        <w:t xml:space="preserve">Mason</w:t>
      </w:r>
      <w:r>
        <w:t xml:space="preserve">, a premier construction and infrastructure development firm, into North Africa. Specifically, this case study analyzes the successful establishment of operations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The entry into this market was driven by Algeria’s aggressive post-pandemic economic diversification strategies and its commitment to large-scale urban renewal projects. This report details the challenges faced, the strategic adaptations made regarding local regulations and cultural nuances, and the resulting impact on</w:t>
      </w:r>
      <w:r>
        <w:t xml:space="preserve"> </w:t>
      </w:r>
      <w:r>
        <w:rPr>
          <w:bCs/>
          <w:b/>
        </w:rPr>
        <w:t xml:space="preserve">Mason’s</w:t>
      </w:r>
      <w:r>
        <w:t xml:space="preserve"> </w:t>
      </w:r>
      <w:r>
        <w:t xml:space="preserve">global portfolio.</w:t>
      </w:r>
    </w:p>
    <w:bookmarkStart w:id="21" w:name="introduction-the-vision-for-algeria"/>
    <w:p>
      <w:pPr>
        <w:pStyle w:val="Heading2"/>
      </w:pPr>
      <w:r>
        <w:t xml:space="preserve">1. Introduction: The Vision for Algeria</w:t>
      </w:r>
    </w:p>
    <w:p>
      <w:pPr>
        <w:pStyle w:val="FirstParagraph"/>
      </w:pPr>
      <w:r>
        <w:t xml:space="preserve">The decision by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to enter the Algerian market was predicated on extensive market research indicating a surge in public investment toward infrastructure modernization.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as the capital city and economic hub, represents the epicenter of this development. The government’s "New Algeria" initiative prioritizes sustainable housing, smart city technologies, and renewable energy integration.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identified an alignment between its core competencies in sustainable urban planning and Algeria’s national development goals.</w:t>
      </w:r>
    </w:p>
    <w:bookmarkEnd w:id="21"/>
    <w:bookmarkStart w:id="22" w:name="market-analysis-why-algiers"/>
    <w:p>
      <w:pPr>
        <w:pStyle w:val="Heading2"/>
      </w:pPr>
      <w:r>
        <w:t xml:space="preserve">2. Market Analysis: Why Algiers?</w:t>
      </w:r>
    </w:p>
    <w:p>
      <w:pPr>
        <w:pStyle w:val="FirstParagraph"/>
      </w:pPr>
      <w:r>
        <w:rPr>
          <w:bCs/>
          <w:b/>
        </w:rPr>
        <w:t xml:space="preserve">Algeria, Algiers</w:t>
      </w:r>
      <w:r>
        <w:t xml:space="preserve">, is a city of over 3 million inhabitants, facing rapid urbanization pressures. The demand for modern residential complexes, commercial hubs, and efficient public transport links has never been higher. Key factors influencing</w:t>
      </w:r>
      <w:r>
        <w:t xml:space="preserve"> </w:t>
      </w:r>
      <w:r>
        <w:rPr>
          <w:bCs/>
          <w:b/>
        </w:rPr>
        <w:t xml:space="preserve">Mason’s</w:t>
      </w:r>
      <w:r>
        <w:t xml:space="preserve"> </w:t>
      </w:r>
      <w:r>
        <w:t xml:space="preserve">decision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Stability:</w:t>
      </w:r>
      <w:r>
        <w:t xml:space="preserve"> </w:t>
      </w:r>
      <w:r>
        <w:t xml:space="preserve">Despite global fluctuations, Algeria has maintained a relatively stable macroeconomic environment with strong sovereign wealth funds dedicated to infrastructure.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Demand for Quality:</w:t>
      </w:r>
      <w:r>
        <w:t xml:space="preserve"> </w:t>
      </w:r>
      <w:r>
        <w:t xml:space="preserve">There is a growing middle class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demanding higher construction standards and eco-friendly living spaces.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Government Incentives:</w:t>
      </w:r>
      <w:r>
        <w:t xml:space="preserve"> </w:t>
      </w:r>
      <w:r>
        <w:t xml:space="preserve">The Algerian government offers tax incentives and streamlined permitting processes for foreign firms that partner with local entities and adhere to strict quality control measures.</w:t>
      </w:r>
    </w:p>
    <w:bookmarkEnd w:id="22"/>
    <w:bookmarkStart w:id="26" w:name="strategic-challenges-faced-by-mason"/>
    <w:p>
      <w:pPr>
        <w:pStyle w:val="Heading2"/>
      </w:pPr>
      <w:r>
        <w:t xml:space="preserve">3. Strategic Challenges Faced by Mason</w:t>
      </w:r>
    </w:p>
    <w:p>
      <w:pPr>
        <w:pStyle w:val="FirstParagraph"/>
      </w:pPr>
      <w:r>
        <w:t xml:space="preserve">Navigating the business landscape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presented unique challenges for</w:t>
      </w:r>
      <w:r>
        <w:t xml:space="preserve"> </w:t>
      </w:r>
      <w:r>
        <w:rPr>
          <w:bCs/>
          <w:b/>
        </w:rPr>
        <w:t xml:space="preserve">Mason</w:t>
      </w:r>
      <w:r>
        <w:t xml:space="preserve">. These were not merely logistical but also cultural and regulatory.</w:t>
      </w:r>
    </w:p>
    <w:bookmarkStart w:id="23" w:name="Xb90e95b2241a1681def837f29fe125eb643329d"/>
    <w:p>
      <w:pPr>
        <w:pStyle w:val="Heading3"/>
      </w:pPr>
      <w:r>
        <w:t xml:space="preserve">3.1 Regulatory Framework and Localization Laws</w:t>
      </w:r>
    </w:p>
    <w:p>
      <w:pPr>
        <w:pStyle w:val="FirstParagraph"/>
      </w:pPr>
      <w:r>
        <w:t xml:space="preserve">Algerian law requires a certain level of local participation in joint ventures.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had to identify reliable local partners who understood the bureaucratic landscape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This involved navigating complex procurement laws and ensuring compliance with new building codes that emphasize seismic safety and energy efficiency.</w:t>
      </w:r>
    </w:p>
    <w:bookmarkEnd w:id="23"/>
    <w:bookmarkStart w:id="24" w:name="cultural-integration"/>
    <w:p>
      <w:pPr>
        <w:pStyle w:val="Heading3"/>
      </w:pPr>
      <w:r>
        <w:t xml:space="preserve">3.2 Cultural Integration</w:t>
      </w:r>
    </w:p>
    <w:p>
      <w:pPr>
        <w:pStyle w:val="FirstParagraph"/>
      </w:pPr>
      <w:r>
        <w:t xml:space="preserve">In North Africa, business is relationship-driven. For</w:t>
      </w:r>
      <w:r>
        <w:t xml:space="preserve"> </w:t>
      </w:r>
      <w:r>
        <w:rPr>
          <w:bCs/>
          <w:b/>
        </w:rPr>
        <w:t xml:space="preserve">Mason</w:t>
      </w:r>
      <w:r>
        <w:t xml:space="preserve">, success depended not just on technical capability but on building trust with local stakeholders, government officials, and community leaders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 Understanding the nuances of negotiation and the importance of hospitality was critical to maintaining project timelines.</w:t>
      </w:r>
    </w:p>
    <w:bookmarkEnd w:id="24"/>
    <w:bookmarkStart w:id="25" w:name="supply-chain-logistics"/>
    <w:p>
      <w:pPr>
        <w:pStyle w:val="Heading3"/>
      </w:pPr>
      <w:r>
        <w:t xml:space="preserve">3.3 Supply Chain Logistics</w:t>
      </w:r>
    </w:p>
    <w:p>
      <w:pPr>
        <w:pStyle w:val="FirstParagraph"/>
      </w:pPr>
      <w:r>
        <w:t xml:space="preserve">Sourcing specialized materials while ensuring timely delivery to construction sites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required a robust logistics strategy.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had to balance importing high-tech components with promoting the use of locally sourced materials to reduce costs and support the local economy.</w:t>
      </w:r>
    </w:p>
    <w:bookmarkEnd w:id="25"/>
    <w:bookmarkEnd w:id="26"/>
    <w:bookmarkStart w:id="30" w:name="the-mason-solution-operational-strategy"/>
    <w:p>
      <w:pPr>
        <w:pStyle w:val="Heading2"/>
      </w:pPr>
      <w:r>
        <w:t xml:space="preserve">4. The Mason Solution: Operational Strategy</w:t>
      </w:r>
    </w:p>
    <w:p>
      <w:pPr>
        <w:pStyle w:val="FirstParagraph"/>
      </w:pPr>
      <w:r>
        <w:t xml:space="preserve">To address these challenges,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implemented a multi-faceted strategy tailored specifically for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</w:t>
      </w:r>
    </w:p>
    <w:bookmarkStart w:id="27" w:name="local-partnership-model"/>
    <w:p>
      <w:pPr>
        <w:pStyle w:val="Heading3"/>
      </w:pPr>
      <w:r>
        <w:t xml:space="preserve">4.1 Local Partnership Model</w:t>
      </w:r>
    </w:p>
    <w:p>
      <w:pPr>
        <w:pStyle w:val="FirstParagraph"/>
      </w:pPr>
      <w:r>
        <w:rPr>
          <w:bCs/>
          <w:b/>
        </w:rPr>
        <w:t xml:space="preserve">Mason</w:t>
      </w:r>
      <w:r>
        <w:t xml:space="preserve"> </w:t>
      </w:r>
      <w:r>
        <w:t xml:space="preserve">formed a strategic joint venture with a prominent local Algerian construction firm. This partnership allowed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to leverage local expertise in regulatory navigation while providing advanced technical knowledge in sustainable building practices.</w:t>
      </w:r>
    </w:p>
    <w:bookmarkEnd w:id="27"/>
    <w:bookmarkStart w:id="28" w:name="technology-and-sustainability-focus"/>
    <w:p>
      <w:pPr>
        <w:pStyle w:val="Heading3"/>
      </w:pPr>
      <w:r>
        <w:t xml:space="preserve">4.2 Technology and Sustainability Focus</w:t>
      </w:r>
    </w:p>
    <w:p>
      <w:pPr>
        <w:pStyle w:val="FirstParagraph"/>
      </w:pPr>
      <w:r>
        <w:t xml:space="preserve">In line with the needs of modern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introduced smart building technologies. These include energy-efficient HVAC systems, solar integration, and water recycling units. This focus on sustainability resonated deeply with government officials aiming to reduce the nation’s carbon footprint.</w:t>
      </w:r>
    </w:p>
    <w:bookmarkEnd w:id="28"/>
    <w:bookmarkStart w:id="29" w:name="community-engagement"/>
    <w:p>
      <w:pPr>
        <w:pStyle w:val="Heading3"/>
      </w:pPr>
      <w:r>
        <w:t xml:space="preserve">4.3 Community Engagement</w:t>
      </w:r>
    </w:p>
    <w:p>
      <w:pPr>
        <w:pStyle w:val="FirstParagraph"/>
      </w:pPr>
      <w:r>
        <w:t xml:space="preserve">Understanding that projects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must serve the people,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initiated community engagement programs. These included local hiring initiatives and skills transfer workshops, ensuring that the workforce was not only employed but also trained to international standards.</w:t>
      </w:r>
    </w:p>
    <w:bookmarkEnd w:id="29"/>
    <w:bookmarkEnd w:id="30"/>
    <w:bookmarkStart w:id="31" w:name="X65e5a1318427db299f2011be58a4b0ba4ff2309"/>
    <w:p>
      <w:pPr>
        <w:pStyle w:val="Heading2"/>
      </w:pPr>
      <w:r>
        <w:t xml:space="preserve">5. Case Study Project: The "Horizon" Residential Complex</w:t>
      </w:r>
    </w:p>
    <w:p>
      <w:pPr>
        <w:pStyle w:val="FirstParagraph"/>
      </w:pPr>
      <w:r>
        <w:t xml:space="preserve">The flagship project for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is the "Horizon" Residential Complex, located in a rapidly developing district of the city. This 40-story mixed-use development aims to set a new standard for urban living in North Africa.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Sustainability:</w:t>
      </w:r>
      <w:r>
        <w:t xml:space="preserve"> </w:t>
      </w:r>
      <w:r>
        <w:t xml:space="preserve">The project incorporates green roofing and passive cooling designs suited to the Mediterranean climate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Innovation:</w:t>
      </w:r>
      <w:r>
        <w:t xml:space="preserve"> </w:t>
      </w:r>
      <w:r>
        <w:t xml:space="preserve">Implementation of IoT (Internet of Things) systems for building management.</w:t>
      </w:r>
    </w:p>
    <w:bookmarkEnd w:id="31"/>
    <w:bookmarkStart w:id="32" w:name="results-and-impact"/>
    <w:p>
      <w:pPr>
        <w:pStyle w:val="Heading2"/>
      </w:pPr>
      <w:r>
        <w:t xml:space="preserve">6. Results and Impact</w:t>
      </w:r>
    </w:p>
    <w:p>
      <w:pPr>
        <w:pStyle w:val="FirstParagraph"/>
      </w:pPr>
      <w:r>
        <w:t xml:space="preserve">The launch of the Horizon project marked a significant milestone for</w:t>
      </w:r>
      <w:r>
        <w:t xml:space="preserve"> </w:t>
      </w:r>
      <w:r>
        <w:rPr>
          <w:bCs/>
          <w:b/>
        </w:rPr>
        <w:t xml:space="preserve">Mason</w:t>
      </w:r>
      <w:r>
        <w:t xml:space="preserve">. Within the first six months:</w:t>
      </w:r>
    </w:p>
    <w:p>
      <w:pPr>
        <w:numPr>
          <w:ilvl w:val="0"/>
          <w:numId w:val="1003"/>
        </w:numPr>
        <w:pStyle w:val="Compact"/>
      </w:pPr>
      <w:r>
        <w:t xml:space="preserve">The project achieved pre-sales exceeding 80% of available units, indicating strong market confidence.</w:t>
      </w:r>
    </w:p>
    <w:p>
      <w:pPr>
        <w:numPr>
          <w:ilvl w:val="0"/>
          <w:numId w:val="1004"/>
        </w:numPr>
        <w:pStyle w:val="Compact"/>
      </w:pPr>
      <w:r>
        <w:t xml:space="preserve">Awards were received from local urban planning authorities in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for design excellence and sustainability.</w:t>
      </w:r>
    </w:p>
    <w:p>
      <w:pPr>
        <w:numPr>
          <w:ilvl w:val="0"/>
          <w:numId w:val="1004"/>
        </w:numPr>
        <w:pStyle w:val="Compact"/>
      </w:pPr>
      <w:r>
        <w:t xml:space="preserve">The project became a model for future developments in the region, demonstrating that international standards can be successfully adapted to local contexts.</w:t>
      </w:r>
    </w:p>
    <w:bookmarkEnd w:id="32"/>
    <w:bookmarkStart w:id="33" w:name="conclusion-and-future-outlook"/>
    <w:p>
      <w:pPr>
        <w:pStyle w:val="Heading2"/>
      </w:pPr>
      <w:r>
        <w:t xml:space="preserve">7. Conclusion and Future Outlook</w:t>
      </w:r>
    </w:p>
    <w:p>
      <w:pPr>
        <w:pStyle w:val="FirstParagraph"/>
      </w:pPr>
      <w:r>
        <w:t xml:space="preserve">The successful entry of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into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 serves as a testament to the importance of adaptability, strategic partnerships, and respect for local culture. By aligning its operations with the developmental needs of</w:t>
      </w:r>
      <w:r>
        <w:t xml:space="preserve"> </w:t>
      </w:r>
      <w:r>
        <w:rPr>
          <w:bCs/>
          <w:b/>
        </w:rPr>
        <w:t xml:space="preserve">Algeria, Algiers</w:t>
      </w:r>
      <w:r>
        <w:t xml:space="preserve">,</w:t>
      </w:r>
      <w:r>
        <w:t xml:space="preserve"> </w:t>
      </w:r>
      <w:r>
        <w:rPr>
          <w:bCs/>
          <w:b/>
        </w:rPr>
        <w:t xml:space="preserve">Mason</w:t>
      </w:r>
      <w:r>
        <w:br/>
      </w:r>
      <w:r>
        <w:t xml:space="preserve">has not only secured a foothold in a lucrative market but has also contributed positively to urban development.</w:t>
      </w:r>
    </w:p>
    <w:p>
      <w:pPr>
        <w:pStyle w:val="BodyText"/>
      </w:pPr>
      <w:r>
        <w:t xml:space="preserve">Looking forward,</w:t>
      </w:r>
    </w:p>
    <w:p>
      <w:pPr>
        <w:pStyle w:val="BodyText"/>
      </w:pPr>
      <w:r>
        <w:t xml:space="preserve">Mason</w:t>
      </w:r>
    </w:p>
    <w:p>
      <w:pPr>
        <w:pStyle w:val="BodyText"/>
      </w:pPr>
      <w:r>
        <w:br/>
      </w:r>
      <w:r>
        <w:rPr>
          <w:bCs/>
          <w:b/>
        </w:rPr>
        <w:t xml:space="preserve">Acknowledgments:</w:t>
      </w:r>
      <w:r>
        <w:rPr>
          <w:bCs/>
          <w:b/>
        </w:rPr>
        <w:t xml:space="preserve"> </w:t>
      </w:r>
      <w:r>
        <w:rPr>
          <w:bCs/>
          <w:b/>
        </w:rPr>
        <w:t xml:space="preserve">This case study was prepared by the Strategic Planning Division of Mason International.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Expansion Case Study: Mason in Algeria, Algiers</dc:title>
  <dc:creator/>
  <cp:keywords/>
  <dcterms:created xsi:type="dcterms:W3CDTF">2026-07-29T13:51:57Z</dcterms:created>
  <dcterms:modified xsi:type="dcterms:W3CDTF">2026-07-29T13:51:57Z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