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afac049944ae790a1bb6ee7508f7cd9a998d47"/>
    <w:p>
      <w:pPr>
        <w:pStyle w:val="Heading1"/>
      </w:pPr>
      <w:r>
        <w:t xml:space="preserve">The Digital Transformation of Mason in Colombia Bogotá</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Case Study</w:t>
      </w:r>
      <w:r>
        <w:br/>
      </w:r>
      <w:r>
        <w:rPr>
          <w:bCs/>
          <w:b/>
        </w:rPr>
        <w:t xml:space="preserve">Contact:</w:t>
      </w:r>
      <w:r>
        <w:t xml:space="preserve"> </w:t>
      </w:r>
      <w:r>
        <w:t xml:space="preserve">Strategic Operations Division</w:t>
      </w:r>
    </w:p>
    <w:bookmarkStart w:id="20" w:name="i.-executive-summary"/>
    <w:p>
      <w:pPr>
        <w:pStyle w:val="Heading2"/>
      </w:pPr>
      <w:r>
        <w:t xml:space="preserve">I. Executive Summary</w:t>
      </w:r>
    </w:p>
    <w:p>
      <w:pPr>
        <w:pStyle w:val="FirstParagraph"/>
      </w:pPr>
      <w:r>
        <w:t xml:space="preserve">In the rapidly evolving landscape of Latin American technology, few stories illustrate the intersection of local cultural nuance and global technological capability as effectively as the recent expansion of</w:t>
      </w:r>
      <w:r>
        <w:t xml:space="preserve"> </w:t>
      </w:r>
      <w:r>
        <w:rPr>
          <w:bCs/>
          <w:b/>
        </w:rPr>
        <w:t xml:space="preserve">Mason</w:t>
      </w:r>
      <w:r>
        <w:t xml:space="preserve">. This case study examines how</w:t>
      </w:r>
    </w:p>
    <w:p>
      <w:pPr>
        <w:pStyle w:val="BodyText"/>
      </w:pPr>
      <w:r>
        <w:t xml:space="preserve">Mason**, a specialized talent acquisition and digital workforce platform, successfully penetrated one of South America’s most complex yet vibrant markets:</w:t>
      </w:r>
      <w:r>
        <w:t xml:space="preserve"> </w:t>
      </w:r>
      <w:r>
        <w:rPr>
          <w:bCs/>
          <w:b/>
        </w:rPr>
        <w:t xml:space="preserve">Colombia Bogotá</w:t>
      </w:r>
      <w:r>
        <w:t xml:space="preserve">.</w:t>
      </w:r>
    </w:p>
    <w:p>
      <w:pPr>
        <w:pStyle w:val="BodyText"/>
      </w:pPr>
      <w:r>
        <w:t xml:space="preserve">The primary objective of this initiative was to establish a robust hub for remote technical talent in the capital city, leveraging the region's growing reputation as an innovation center. By focusing on</w:t>
      </w:r>
      <w:r>
        <w:t xml:space="preserve"> </w:t>
      </w:r>
      <w:r>
        <w:rPr>
          <w:bCs/>
          <w:b/>
        </w:rPr>
        <w:t xml:space="preserve">Colombia Bogotá</w:t>
      </w:r>
      <w:r>
        <w:t xml:space="preserve">, Mason aimed not only to source high-quality engineers but also to integrate deeply into the local professional ecosystem. This document outlines the strategic challenges, implementation phases, and eventual successes of deploying</w:t>
      </w:r>
      <w:r>
        <w:t xml:space="preserve"> </w:t>
      </w:r>
      <w:r>
        <w:rPr>
          <w:bCs/>
          <w:b/>
        </w:rPr>
        <w:t xml:space="preserve">Mason’s</w:t>
      </w:r>
      <w:r>
        <w:t xml:space="preserve"> </w:t>
      </w:r>
      <w:r>
        <w:t xml:space="preserve">unique operational model within this specific geographic context.</w:t>
      </w:r>
    </w:p>
    <w:bookmarkEnd w:id="20"/>
    <w:bookmarkStart w:id="21" w:name="ii.-market-context-why-colombia-bogotá"/>
    <w:p>
      <w:pPr>
        <w:pStyle w:val="Heading2"/>
      </w:pPr>
      <w:r>
        <w:t xml:space="preserve">II. Market Context: Why Colombia Bogotá?</w:t>
      </w:r>
    </w:p>
    <w:p>
      <w:pPr>
        <w:pStyle w:val="FirstParagraph"/>
      </w:pPr>
      <w:r>
        <w:t xml:space="preserve">The decision to target</w:t>
      </w:r>
      <w:r>
        <w:t xml:space="preserve"> </w:t>
      </w:r>
      <w:r>
        <w:rPr>
          <w:bCs/>
          <w:b/>
        </w:rPr>
        <w:t xml:space="preserve">Colombia Bogotá</w:t>
      </w:r>
      <w:r>
        <w:t xml:space="preserve"> </w:t>
      </w:r>
      <w:r>
        <w:t xml:space="preserve">was driven by a confluence of economic, educational, and geographical factors. Historically known for its robust coffee exports, the region has undergone a significant digital transformation over the last decade.</w:t>
      </w:r>
      <w:r>
        <w:t xml:space="preserve"> </w:t>
      </w:r>
      <w:r>
        <w:rPr>
          <w:bCs/>
          <w:b/>
        </w:rPr>
        <w:t xml:space="preserve">Colombia Bogotá</w:t>
      </w:r>
      <w:r>
        <w:t xml:space="preserve"> </w:t>
      </w:r>
      <w:r>
        <w:t xml:space="preserve">has emerged as the technological heart of Colombia, hosting major fintech startups, banking institutions undergoing digital overhaul, and multinational corporations establishing nearshore development centers.</w:t>
      </w:r>
    </w:p>
    <w:p>
      <w:pPr>
        <w:pStyle w:val="BodyText"/>
      </w:pPr>
      <w:r>
        <w:t xml:space="preserve">The talent pool in</w:t>
      </w:r>
      <w:r>
        <w:t xml:space="preserve"> </w:t>
      </w:r>
      <w:r>
        <w:rPr>
          <w:bCs/>
          <w:b/>
        </w:rPr>
        <w:t xml:space="preserve">Colombia Bogotá</w:t>
      </w:r>
      <w:r>
        <w:t xml:space="preserve"> </w:t>
      </w:r>
      <w:r>
        <w:t xml:space="preserve">is characterized by high proficiency in English compared to other regional competitors, a strong foundation in STEM (Science, Technology, Engineering, and Mathematics) education from prestigious universities such as the Universidad de los Andes and Pontificia Universidad Javeriana, and a cultural affinity for remote work. For</w:t>
      </w:r>
      <w:r>
        <w:t xml:space="preserve"> </w:t>
      </w:r>
      <w:r>
        <w:rPr>
          <w:bCs/>
          <w:b/>
        </w:rPr>
        <w:t xml:space="preserve">Mason</w:t>
      </w:r>
      <w:r>
        <w:t xml:space="preserve">, identifying these traits was crucial. The goal was not merely to hire developers but to find problem-solvers who could thrive in asynchronous, cross-border environments while maintaining strong cultural alignment with global clients.</w:t>
      </w:r>
    </w:p>
    <w:bookmarkEnd w:id="21"/>
    <w:bookmarkStart w:id="22" w:name="X5cb7f7b66fa46c7f669e0cd3e4849619877ae42"/>
    <w:p>
      <w:pPr>
        <w:pStyle w:val="Heading2"/>
      </w:pPr>
      <w:r>
        <w:t xml:space="preserve">III. The Mason Model: Adaptation and Localization</w:t>
      </w:r>
    </w:p>
    <w:p>
      <w:pPr>
        <w:pStyle w:val="FirstParagraph"/>
      </w:pPr>
      <w:r>
        <w:rPr>
          <w:bCs/>
          <w:b/>
        </w:rPr>
        <w:t xml:space="preserve">Mason</w:t>
      </w:r>
      <w:r>
        <w:t xml:space="preserve"> </w:t>
      </w:r>
      <w:r>
        <w:t xml:space="preserve">operates on a proprietary model that prioritizes "fit" over mere technical skill. Unlike traditional staffing agencies that focus solely on CV screening,</w:t>
      </w:r>
      <w:r>
        <w:t xml:space="preserve"> </w:t>
      </w:r>
      <w:r>
        <w:rPr>
          <w:bCs/>
          <w:b/>
        </w:rPr>
        <w:t xml:space="preserve">Mason</w:t>
      </w:r>
      <w:r>
        <w:t xml:space="preserve"> </w:t>
      </w:r>
      <w:r>
        <w:t xml:space="preserve">utilizes a rigorous vetting process that assesses soft skills, adaptability, and long-term career goals. When entering the market of</w:t>
      </w:r>
      <w:r>
        <w:t xml:space="preserve"> </w:t>
      </w:r>
      <w:r>
        <w:rPr>
          <w:bCs/>
          <w:b/>
        </w:rPr>
        <w:t xml:space="preserve">Colombia Bogotá</w:t>
      </w:r>
      <w:r>
        <w:t xml:space="preserve">, it was evident that a direct copy-paste of their United States or European operational strategies would fail.</w:t>
      </w:r>
    </w:p>
    <w:p>
      <w:pPr>
        <w:pStyle w:val="BodyText"/>
      </w:pPr>
      <w:r>
        <w:rPr>
          <w:bCs/>
          <w:b/>
        </w:rPr>
        <w:t xml:space="preserve">Mason</w:t>
      </w:r>
      <w:r>
        <w:t xml:space="preserve"> </w:t>
      </w:r>
      <w:r>
        <w:t xml:space="preserve">recognized that trust is paramount in Colombian business culture. Therefore, they adopted a hyper-localized approach. They established physical liaison offices in the trendy Zona T and Chapinero districts of</w:t>
      </w:r>
      <w:r>
        <w:t xml:space="preserve"> </w:t>
      </w:r>
      <w:r>
        <w:rPr>
          <w:bCs/>
          <w:b/>
        </w:rPr>
        <w:t xml:space="preserve">Colombia Bogotá</w:t>
      </w:r>
      <w:r>
        <w:t xml:space="preserve">. These spaces served not just as administrative hubs but as community centers where local talent could network, attend workshops, and engage with mentors.</w:t>
      </w:r>
    </w:p>
    <w:p>
      <w:pPr>
        <w:pStyle w:val="BodyText"/>
      </w:pPr>
      <w:r>
        <w:t xml:space="preserve">"The key to unlocking the potential of talent in Colombia Bogotá was recognizing that they value relationships and long-term stability. Mason adapted their model to provide a sense of belonging that traditional remote-work platforms often lack."</w:t>
      </w:r>
      <w:r>
        <w:br/>
      </w:r>
      <w:r>
        <w:t xml:space="preserve">- Regional Director, Mason Colombia</w:t>
      </w:r>
    </w:p>
    <w:bookmarkEnd w:id="22"/>
    <w:bookmarkStart w:id="23" w:name="iv.-strategic-challenges-encountered"/>
    <w:p>
      <w:pPr>
        <w:pStyle w:val="Heading2"/>
      </w:pPr>
      <w:r>
        <w:t xml:space="preserve">IV. Strategic Challenges Encountered</w:t>
      </w:r>
    </w:p>
    <w:p>
      <w:pPr>
        <w:pStyle w:val="FirstParagraph"/>
      </w:pPr>
      <w:r>
        <w:t xml:space="preserve">The journey was not without significant hurdles. One of the primary challenges for</w:t>
      </w:r>
      <w:r>
        <w:t xml:space="preserve"> </w:t>
      </w:r>
      <w:r>
        <w:rPr>
          <w:bCs/>
          <w:b/>
        </w:rPr>
        <w:t xml:space="preserve">Mason</w:t>
      </w:r>
      <w:r>
        <w:t xml:space="preserve"> </w:t>
      </w:r>
      <w:r>
        <w:t xml:space="preserve">was navigating the complex regulatory environment of labor laws in</w:t>
      </w:r>
      <w:r>
        <w:t xml:space="preserve"> </w:t>
      </w:r>
      <w:r>
        <w:rPr>
          <w:bCs/>
          <w:b/>
        </w:rPr>
        <w:t xml:space="preserve">Colombia Bogotá</w:t>
      </w:r>
      <w:r>
        <w:t xml:space="preserve">. While many roles were structured as freelance or independent contractor positions to facilitate global payment, Colombian regulations often blur the lines between contractor and employee status.</w:t>
      </w:r>
    </w:p>
    <w:p>
      <w:pPr>
        <w:pStyle w:val="BodyText"/>
      </w:pPr>
      <w:r>
        <w:t xml:space="preserve">Mason had to invest heavily in legal compliance teams to ensure that their engagements with local talent respected local rights while maintaining the flexibility required by international clients.</w:t>
      </w:r>
    </w:p>
    <w:p>
      <w:pPr>
        <w:pStyle w:val="BodyText"/>
      </w:pPr>
      <w:r>
        <w:t xml:space="preserve">Another challenge was market education. In</w:t>
      </w:r>
      <w:r>
        <w:t xml:space="preserve"> </w:t>
      </w:r>
      <w:r>
        <w:rPr>
          <w:bCs/>
          <w:b/>
        </w:rPr>
        <w:t xml:space="preserve">Colombia Bogotá</w:t>
      </w:r>
      <w:r>
        <w:t xml:space="preserve">, there was initially a misconception that platforms like</w:t>
      </w:r>
    </w:p>
    <w:p>
      <w:pPr>
        <w:pStyle w:val="BodyText"/>
      </w:pPr>
      <w:r>
        <w:t xml:space="preserve">Mason were purely transactional. Many top-tier engineers in the region were wary of being "placed" into roles without understanding the company culture or long-term prospects. To combat this, Mason launched an extensive educational campaign, hosting hackathons and tech meetups across</w:t>
      </w:r>
      <w:r>
        <w:t xml:space="preserve"> </w:t>
      </w:r>
      <w:r>
        <w:rPr>
          <w:bCs/>
          <w:b/>
        </w:rPr>
        <w:t xml:space="preserve">Colombia Bogotá</w:t>
      </w:r>
      <w:r>
        <w:t xml:space="preserve"> </w:t>
      </w:r>
      <w:r>
        <w:t xml:space="preserve">to demonstrate their commitment to professional development rather than just placement.</w:t>
      </w:r>
    </w:p>
    <w:bookmarkEnd w:id="23"/>
    <w:bookmarkStart w:id="24" w:name="v.-implementation-and-growth-metrics"/>
    <w:p>
      <w:pPr>
        <w:pStyle w:val="Heading2"/>
      </w:pPr>
      <w:r>
        <w:t xml:space="preserve">V. Implementation and Growth Metrics</w:t>
      </w:r>
    </w:p>
    <w:p>
      <w:pPr>
        <w:pStyle w:val="FirstParagraph"/>
      </w:pPr>
      <w:r>
        <w:t xml:space="preserve">The rollout phase for</w:t>
      </w:r>
    </w:p>
    <w:p>
      <w:pPr>
        <w:pStyle w:val="BodyText"/>
      </w:pPr>
      <w:r>
        <w:t xml:space="preserve">Mason in</w:t>
      </w:r>
    </w:p>
    <w:p>
      <w:pPr>
        <w:pStyle w:val="BodyText"/>
      </w:pPr>
      <w:r>
        <w:t xml:space="preserve">Colombia Bogotá spanned eighteen months. During this period, the team focused on building partnerships with local coding bootcamps and university career centers. By engaging early in the education pipeline, Mason was able to identify promising talent before they entered the broader market.</w:t>
      </w:r>
    </w:p>
    <w:p>
      <w:pPr>
        <w:pStyle w:val="BodyText"/>
      </w:pPr>
      <w:r>
        <w:t xml:space="preserve">Key performance indicators demonstrated remarkable success:</w:t>
      </w:r>
    </w:p>
    <w:p>
      <w:pPr>
        <w:numPr>
          <w:ilvl w:val="0"/>
          <w:numId w:val="1001"/>
        </w:numPr>
        <w:pStyle w:val="Compact"/>
      </w:pPr>
      <w:r>
        <w:rPr>
          <w:bCs/>
          <w:b/>
        </w:rPr>
        <w:t xml:space="preserve">Talent Acquisition:</w:t>
      </w:r>
      <w:r>
        <w:t xml:space="preserve"> </w:t>
      </w:r>
      <w:r>
        <w:t xml:space="preserve">Within the first year, Mason successfully onboarded over 150 specialized engineers and product managers based in</w:t>
      </w:r>
    </w:p>
    <w:p>
      <w:pPr>
        <w:numPr>
          <w:ilvl w:val="0"/>
          <w:numId w:val="1000"/>
        </w:numPr>
        <w:pStyle w:val="Compact"/>
      </w:pPr>
      <w:r>
        <w:t xml:space="preserve">Colombia Bogotá.</w:t>
      </w:r>
    </w:p>
    <w:p>
      <w:pPr>
        <w:numPr>
          <w:ilvl w:val="0"/>
          <w:numId w:val="1001"/>
        </w:numPr>
        <w:pStyle w:val="Compact"/>
      </w:pPr>
      <w:r>
        <w:rPr>
          <w:bCs/>
          <w:b/>
        </w:rPr>
        <w:t xml:space="preserve">Cross-Border Placement:</w:t>
      </w:r>
      <w:r>
        <w:t xml:space="preserve"> </w:t>
      </w:r>
      <w:r>
        <w:t xml:space="preserve">80% of the talent sourced from this hub was placed with clients in North America and Northern Europe, highlighting the global demand for Colombian tech expertise.</w:t>
      </w:r>
    </w:p>
    <w:p>
      <w:pPr>
        <w:numPr>
          <w:ilvl w:val="0"/>
          <w:numId w:val="1001"/>
        </w:numPr>
        <w:pStyle w:val="Compact"/>
      </w:pPr>
      <w:r>
        <w:rPr>
          <w:bCs/>
          <w:b/>
        </w:rPr>
        <w:t xml:space="preserve">Retention Rates:</w:t>
      </w:r>
      <w:r>
        <w:t xml:space="preserve"> </w:t>
      </w:r>
      <w:r>
        <w:t xml:space="preserve">Due to Mason’s focus on cultural fit and support, retention rates among placements exceeded 95%, significantly higher than industry averages.</w:t>
      </w:r>
    </w:p>
    <w:p>
      <w:pPr>
        <w:numPr>
          <w:ilvl w:val="0"/>
          <w:numId w:val="1001"/>
        </w:numPr>
        <w:pStyle w:val="Compact"/>
      </w:pPr>
      <w:r>
        <w:rPr>
          <w:bCs/>
          <w:b/>
        </w:rPr>
        <w:t xml:space="preserve">Economic Impact:</w:t>
      </w:r>
      <w:r>
        <w:t xml:space="preserve"> </w:t>
      </w:r>
      <w:r>
        <w:t xml:space="preserve">The influx of high-value remote work salaries contributed positively to the local economy of</w:t>
      </w:r>
    </w:p>
    <w:p>
      <w:pPr>
        <w:numPr>
          <w:ilvl w:val="0"/>
          <w:numId w:val="1000"/>
        </w:numPr>
        <w:pStyle w:val="Compact"/>
      </w:pPr>
      <w:r>
        <w:t xml:space="preserve">Colombia Bogotá, boosting demand for co-working spaces and digital services in the city.</w:t>
      </w:r>
    </w:p>
    <w:bookmarkEnd w:id="24"/>
    <w:bookmarkStart w:id="25" w:name="Xbc9775b05749ff664ff8b213ceccd8e65bdbe70"/>
    <w:p>
      <w:pPr>
        <w:pStyle w:val="Heading2"/>
      </w:pPr>
      <w:r>
        <w:t xml:space="preserve">VI. Cultural Integration and Community Building</w:t>
      </w:r>
    </w:p>
    <w:p>
      <w:pPr>
        <w:pStyle w:val="FirstParagraph"/>
      </w:pPr>
      <w:r>
        <w:t xml:space="preserve">A distinctive feature of Mason’s success in</w:t>
      </w:r>
    </w:p>
    <w:p>
      <w:pPr>
        <w:pStyle w:val="BodyText"/>
      </w:pPr>
      <w:r>
        <w:t xml:space="preserve">Mason Colombia Bogotá initiative was the emphasis on community. Recognizing that isolation is a common pain point for remote workers, Mason organized regular physical meetups, networking events, and wellness workshops throughout</w:t>
      </w:r>
    </w:p>
    <w:p>
      <w:pPr>
        <w:pStyle w:val="BodyText"/>
      </w:pPr>
      <w:r>
        <w:t xml:space="preserve">Colombia Bogotá. These initiatives fostered a sense of camaraderie among dispersed professionals.</w:t>
      </w:r>
    </w:p>
    <w:p>
      <w:pPr>
        <w:pStyle w:val="BodyText"/>
      </w:pPr>
      <w:r>
        <w:t xml:space="preserve">This approach resonated deeply with the local workforce. In Colombian culture, social connection is integral to professional life. By providing a platform that facilitated both career growth and social interaction, Mason positioned itself not just as an employer or recruiter, but as a community pillar in</w:t>
      </w:r>
    </w:p>
    <w:p>
      <w:pPr>
        <w:pStyle w:val="BodyText"/>
      </w:pPr>
      <w:r>
        <w:t xml:space="preserve">Colombia Bogotá.</w:t>
      </w:r>
    </w:p>
    <w:bookmarkEnd w:id="25"/>
    <w:bookmarkStart w:id="26" w:name="vii.-conclusion-and-future-outlook"/>
    <w:p>
      <w:pPr>
        <w:pStyle w:val="Heading2"/>
      </w:pPr>
      <w:r>
        <w:t xml:space="preserve">VII. Conclusion and Future Outlook</w:t>
      </w:r>
    </w:p>
    <w:p>
      <w:pPr>
        <w:pStyle w:val="FirstParagraph"/>
      </w:pPr>
      <w:r>
        <w:t xml:space="preserve">The case of Mason in</w:t>
      </w:r>
    </w:p>
    <w:p>
      <w:pPr>
        <w:pStyle w:val="BodyText"/>
      </w:pPr>
      <w:r>
        <w:t xml:space="preserve">Colombia Bogotá serves as a compelling example of how global platforms can succeed by respecting and adapting to local nuances. By combining their rigorous vetting methodology with a deep understanding of the Colombian market, Mason has established itself as a premier connector between global demand and local talent.</w:t>
      </w:r>
    </w:p>
    <w:p>
      <w:pPr>
        <w:pStyle w:val="BodyText"/>
      </w:pPr>
      <w:r>
        <w:t xml:space="preserve">The success in</w:t>
      </w:r>
    </w:p>
    <w:p>
      <w:pPr>
        <w:pStyle w:val="BodyText"/>
      </w:pPr>
      <w:r>
        <w:t xml:space="preserve">Mason Colombia Bogotá provides a replicable blueprint for other regions. It highlights that technology alone is insufficient; successful expansion requires cultural intelligence, legal agility, and genuine community engagement. As the digital economy continues to grow, the partnership between Mason and the vibrant tech ecosystem of</w:t>
      </w:r>
    </w:p>
    <w:p>
      <w:pPr>
        <w:pStyle w:val="BodyText"/>
      </w:pPr>
      <w:r>
        <w:t xml:space="preserve">Colombia Bogotá is poised for further expansion.</w:t>
      </w:r>
    </w:p>
    <w:p>
      <w:pPr>
        <w:pStyle w:val="BodyText"/>
      </w:pPr>
      <w:r>
        <w:t xml:space="preserve">Moving forward, Mason plans to expand its services in</w:t>
      </w:r>
    </w:p>
    <w:p>
      <w:pPr>
        <w:pStyle w:val="BodyText"/>
      </w:pPr>
      <w:r>
        <w:t xml:space="preserve">Mason Colombia Bogotá to include senior leadership roles and specialized AI/ML engineers. The vision is to solidify</w:t>
      </w:r>
    </w:p>
    <w:p>
      <w:pPr>
        <w:pStyle w:val="BodyText"/>
      </w:pPr>
      <w:r>
        <w:t xml:space="preserve">Colombia Bogotá as not just a talent hub, but a center of innovation and strategic partnership for global enterprises seeking the best technical minds in Latin America.</w:t>
      </w:r>
    </w:p>
    <w:p>
      <w:pPr>
        <w:pStyle w:val="BodyText"/>
      </w:pPr>
      <w:r>
        <w:t xml:space="preserve">In summary, the integration of</w:t>
      </w:r>
    </w:p>
    <w:p>
      <w:pPr>
        <w:pStyle w:val="BodyText"/>
      </w:pPr>
      <w:r>
        <w:t xml:space="preserve">Mason into the fabric of</w:t>
      </w:r>
      <w:r>
        <w:t xml:space="preserve"> </w:t>
      </w:r>
      <w:r>
        <w:rPr>
          <w:bCs/>
          <w:b/>
        </w:rPr>
        <w:t xml:space="preserve">Colombia Bogotá</w:t>
      </w:r>
      <w:r>
        <w:t xml:space="preserve">’s tech industry demonstrates that when global platforms prioritize local value creation, mutual success is inevitable. The story of Mason in</w:t>
      </w:r>
    </w:p>
    <w:p>
      <w:pPr>
        <w:pStyle w:val="BodyText"/>
      </w:pPr>
      <w:r>
        <w:t xml:space="preserve">Mason Colombia Bogotá is one of adaptation, respect, and shared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2026-07-29T06:31:55Z</dcterms:created>
  <dcterms:modified xsi:type="dcterms:W3CDTF">2026-07-29T06:31:55Z</dcterms:modified>
</cp:coreProperties>
</file>

<file path=docProps/custom.xml><?xml version="1.0" encoding="utf-8"?>
<Properties xmlns="http://schemas.openxmlformats.org/officeDocument/2006/custom-properties" xmlns:vt="http://schemas.openxmlformats.org/officeDocument/2006/docPropsVTypes"/>
</file>