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69e4aafdb0acdabe5ddd36c3144181aa7b7b31a"/>
    <w:p>
      <w:pPr>
        <w:pStyle w:val="Heading1"/>
      </w:pPr>
      <w:r>
        <w:t xml:space="preserve">A Strategic Case Study of Mason in the Context of Myanmar, Yangon</w:t>
      </w:r>
    </w:p>
    <w:p>
      <w:pPr>
        <w:pStyle w:val="FirstParagraph"/>
      </w:pPr>
      <w:r>
        <w:rPr>
          <w:bCs/>
          <w:b/>
        </w:rPr>
        <w:t xml:space="preserve">Date:</w:t>
      </w:r>
      <w:r>
        <w:t xml:space="preserve"> </w:t>
      </w:r>
      <w:r>
        <w:t xml:space="preserve">October 2023</w:t>
      </w:r>
      <w:r>
        <w:br/>
      </w:r>
      <w:r>
        <w:rPr>
          <w:bCs/>
          <w:b/>
        </w:rPr>
        <w:t xml:space="preserve">Subject:An Analysis of Market Entry, Operational Challenges, and Cultural Adaptation for Mason Enterprises in Myanmar’s Capital</w:t>
      </w:r>
    </w:p>
    <w:bookmarkStart w:id="20" w:name="executive-summary"/>
    <w:p>
      <w:pPr>
        <w:pStyle w:val="Heading2"/>
      </w:pPr>
      <w:r>
        <w:t xml:space="preserve">1. Executive Summary</w:t>
      </w:r>
    </w:p>
    <w:p>
      <w:pPr>
        <w:pStyle w:val="FirstParagraph"/>
      </w:pPr>
      <w:r>
        <w:t xml:space="preserve">This Case Study provides a comprehensive examination of the operational landscape for</w:t>
      </w:r>
      <w:r>
        <w:t xml:space="preserve"> </w:t>
      </w:r>
      <w:r>
        <w:rPr>
          <w:bCs/>
          <w:b/>
        </w:rPr>
        <w:t xml:space="preserve">Mason</w:t>
      </w:r>
      <w:r>
        <w:t xml:space="preserve">, an emerging entity operating within the dynamic economic sphere of</w:t>
      </w:r>
      <w:r>
        <w:t xml:space="preserve"> </w:t>
      </w:r>
      <w:r>
        <w:rPr>
          <w:bCs/>
          <w:b/>
        </w:rPr>
        <w:t xml:space="preserve">Myanmar, Yangon</w:t>
      </w:r>
      <w:r>
        <w:t xml:space="preserve">. As a city that serves as both the commercial heart and cultural soul of the nation, Yangon presents unique opportunities and profound complexities. This document explores how</w:t>
      </w:r>
      <w:r>
        <w:t xml:space="preserve"> </w:t>
      </w:r>
      <w:r>
        <w:rPr>
          <w:bCs/>
          <w:b/>
        </w:rPr>
        <w:t xml:space="preserve">Mason</w:t>
      </w:r>
      <w:r>
        <w:t xml:space="preserve"> </w:t>
      </w:r>
      <w:r>
        <w:t xml:space="preserve">has navigated these waters, balancing traditional business practices with modern strategic imperatives. The study highlights critical factors such as regulatory compliance, infrastructure limitations, human resource development, and community engagement within the specific geographic and socio-political context of</w:t>
      </w:r>
      <w:r>
        <w:t xml:space="preserve"> </w:t>
      </w:r>
      <w:r>
        <w:rPr>
          <w:bCs/>
          <w:b/>
        </w:rPr>
        <w:t xml:space="preserve">Myanmar, Yangon</w:t>
      </w:r>
      <w:r>
        <w:t xml:space="preserve">.</w:t>
      </w:r>
    </w:p>
    <w:bookmarkEnd w:id="20"/>
    <w:bookmarkStart w:id="21" w:name="company-profile-understanding-mason"/>
    <w:p>
      <w:pPr>
        <w:pStyle w:val="Heading2"/>
      </w:pPr>
      <w:r>
        <w:t xml:space="preserve">2. Company Profile: Understanding Mason</w:t>
      </w:r>
    </w:p>
    <w:p>
      <w:pPr>
        <w:pStyle w:val="FirstParagraph"/>
      </w:pPr>
      <w:r>
        <w:rPr>
          <w:bCs/>
          <w:b/>
        </w:rPr>
        <w:t xml:space="preserve">Mason</w:t>
      </w:r>
      <w:r>
        <w:t xml:space="preserve"> </w:t>
      </w:r>
      <w:r>
        <w:t xml:space="preserve">is a diversified business entity established with a mission to deliver high-quality services while fostering sustainable growth. While the specific industry verticals may vary, the core philosophy of</w:t>
      </w:r>
      <w:r>
        <w:t xml:space="preserve"> </w:t>
      </w:r>
      <w:r>
        <w:rPr>
          <w:bCs/>
          <w:b/>
        </w:rPr>
        <w:t xml:space="preserve">Mason</w:t>
      </w:r>
      <w:r>
        <w:t xml:space="preserve"> </w:t>
      </w:r>
      <w:r>
        <w:t xml:space="preserve">revolves around precision, integrity, and resilience. In recent years,</w:t>
      </w:r>
      <w:r>
        <w:t xml:space="preserve"> </w:t>
      </w:r>
      <w:r>
        <w:rPr>
          <w:bCs/>
          <w:b/>
        </w:rPr>
        <w:t xml:space="preserve">Mason</w:t>
      </w:r>
      <w:r>
        <w:t xml:space="preserve"> </w:t>
      </w:r>
      <w:r>
        <w:t xml:space="preserve">has shifted its strategic focus toward expanding its footprint in Southeast Asia, identifying</w:t>
      </w:r>
      <w:r>
        <w:t xml:space="preserve"> </w:t>
      </w:r>
      <w:r>
        <w:rPr>
          <w:bCs/>
          <w:b/>
        </w:rPr>
        <w:t xml:space="preserve">Myanmar, Yangon</w:t>
      </w:r>
      <w:r>
        <w:t xml:space="preserve">, as a pivotal hub for regional operations. The decision to establish a strong presence here was driven by the city’s status as a historical trade center and its potential for future economic revitalization.</w:t>
      </w:r>
    </w:p>
    <w:p>
      <w:pPr>
        <w:pStyle w:val="BodyText"/>
      </w:pPr>
      <w:r>
        <w:t xml:space="preserve">The identity of</w:t>
      </w:r>
      <w:r>
        <w:t xml:space="preserve"> </w:t>
      </w:r>
      <w:r>
        <w:rPr>
          <w:bCs/>
          <w:b/>
        </w:rPr>
        <w:t xml:space="preserve">Mason</w:t>
      </w:r>
      <w:r>
        <w:t xml:space="preserve"> </w:t>
      </w:r>
      <w:r>
        <w:t xml:space="preserve">is deeply intertwined with its local adaptation strategy. Rather than imposing a rigid foreign corporate structure,</w:t>
      </w:r>
      <w:r>
        <w:t xml:space="preserve"> </w:t>
      </w:r>
      <w:r>
        <w:rPr>
          <w:bCs/>
          <w:b/>
        </w:rPr>
        <w:t xml:space="preserve">Mason</w:t>
      </w:r>
      <w:r>
        <w:t xml:space="preserve"> </w:t>
      </w:r>
      <w:r>
        <w:t xml:space="preserve">has sought to integrate itself into the fabric of</w:t>
      </w:r>
      <w:r>
        <w:t xml:space="preserve"> </w:t>
      </w:r>
      <w:r>
        <w:rPr>
          <w:bCs/>
          <w:b/>
        </w:rPr>
        <w:t xml:space="preserve">Myanmar, Yangon</w:t>
      </w:r>
      <w:r>
        <w:t xml:space="preserve">. This involves understanding the local dialects, respecting religious observances, and aligning business hours with the cultural rhythm of the city. The brand name "Mason" suggests building and construction metaphorically as well as literally; it represents laying a foundation for long-term success in a volatile market.</w:t>
      </w:r>
    </w:p>
    <w:bookmarkEnd w:id="21"/>
    <w:bookmarkStart w:id="24" w:name="X7faf405a294b07dc0dc292ce08a65ab30e80c44"/>
    <w:p>
      <w:pPr>
        <w:pStyle w:val="Heading2"/>
      </w:pPr>
      <w:r>
        <w:t xml:space="preserve">3. Market Context: The Unique Landscape of Myanmar, Yangon</w:t>
      </w:r>
    </w:p>
    <w:p>
      <w:pPr>
        <w:pStyle w:val="FirstParagraph"/>
      </w:pPr>
      <w:r>
        <w:t xml:space="preserve">To understand the significance of</w:t>
      </w:r>
      <w:r>
        <w:t xml:space="preserve"> </w:t>
      </w:r>
      <w:r>
        <w:rPr>
          <w:bCs/>
          <w:b/>
        </w:rPr>
        <w:t xml:space="preserve">Mason’s</w:t>
      </w:r>
      <w:r>
        <w:t xml:space="preserve"> </w:t>
      </w:r>
      <w:r>
        <w:t xml:space="preserve">operations, one must first analyze the environment of</w:t>
      </w:r>
      <w:r>
        <w:t xml:space="preserve"> </w:t>
      </w:r>
      <w:r>
        <w:rPr>
          <w:bCs/>
          <w:b/>
        </w:rPr>
        <w:t xml:space="preserve">Myanmar, Yangon</w:t>
      </w:r>
      <w:r>
        <w:t xml:space="preserve">. As the former capital and current economic center,</w:t>
      </w:r>
      <w:r>
        <w:t xml:space="preserve"> </w:t>
      </w:r>
      <w:r>
        <w:rPr>
          <w:bCs/>
          <w:b/>
        </w:rPr>
        <w:t xml:space="preserve">Myanmar, Yangon</w:t>
      </w:r>
      <w:r>
        <w:t xml:space="preserve">, is a city of stark contrasts. It boasts colonial-era architecture alongside modern high-rises bustling with activity. The city is home to diverse populations, from traditional merchants in the historic Chinatown to tech-savvy youth in newly developed digital parks.</w:t>
      </w:r>
    </w:p>
    <w:p>
      <w:pPr>
        <w:pStyle w:val="BodyText"/>
      </w:pPr>
      <w:r>
        <w:t xml:space="preserve">The economic landscape of</w:t>
      </w:r>
      <w:r>
        <w:t xml:space="preserve"> </w:t>
      </w:r>
      <w:r>
        <w:rPr>
          <w:bCs/>
          <w:b/>
        </w:rPr>
        <w:t xml:space="preserve">Myanmar, Yangon</w:t>
      </w:r>
      <w:r>
        <w:t xml:space="preserve">, is characterized by rapid informal growth and a burgeoning middle class. However, it is also marked by infrastructural deficits. Power outages, internet connectivity issues, and traffic congestion are daily realities that businesses must plan around. For</w:t>
      </w:r>
      <w:r>
        <w:t xml:space="preserve"> </w:t>
      </w:r>
      <w:r>
        <w:rPr>
          <w:bCs/>
          <w:b/>
        </w:rPr>
        <w:t xml:space="preserve">Mason</w:t>
      </w:r>
      <w:r>
        <w:t xml:space="preserve">, these challenges are not merely obstacles but parameters for operational design.</w:t>
      </w:r>
    </w:p>
    <w:bookmarkStart w:id="22" w:name="regulatory-environment"/>
    <w:p>
      <w:pPr>
        <w:pStyle w:val="Heading3"/>
      </w:pPr>
      <w:r>
        <w:t xml:space="preserve">3.1 Regulatory Environment</w:t>
      </w:r>
    </w:p>
    <w:p>
      <w:pPr>
        <w:pStyle w:val="FirstParagraph"/>
      </w:pPr>
      <w:r>
        <w:t xml:space="preserve">The regulatory framework in</w:t>
      </w:r>
      <w:r>
        <w:t xml:space="preserve"> </w:t>
      </w:r>
      <w:r>
        <w:rPr>
          <w:bCs/>
          <w:b/>
        </w:rPr>
        <w:t xml:space="preserve">Myanmar, Yangon</w:t>
      </w:r>
      <w:r>
        <w:t xml:space="preserve">, has undergone significant changes in recent years. Navigating the bureaucratic landscape requires patience and local expertise.</w:t>
      </w:r>
      <w:r>
        <w:t xml:space="preserve"> </w:t>
      </w:r>
      <w:r>
        <w:rPr>
          <w:bCs/>
          <w:b/>
        </w:rPr>
        <w:t xml:space="preserve">Mason</w:t>
      </w:r>
    </w:p>
    <w:p>
      <w:pPr>
        <w:pStyle w:val="BodyText"/>
      </w:pPr>
      <w:r>
        <w:t xml:space="preserve">s approach has been to engage directly with local legal counsel and government liaisons to ensure full compliance. This proactive stance minimizes risk and builds trust with authorities, a crucial asset in the business environment of</w:t>
      </w:r>
      <w:r>
        <w:t xml:space="preserve"> </w:t>
      </w:r>
      <w:r>
        <w:rPr>
          <w:bCs/>
          <w:b/>
        </w:rPr>
        <w:t xml:space="preserve">Myanmar, Yangon</w:t>
      </w:r>
      <w:r>
        <w:t xml:space="preserve">.</w:t>
      </w:r>
    </w:p>
    <w:bookmarkEnd w:id="22"/>
    <w:bookmarkStart w:id="23" w:name="consumer-behavior"/>
    <w:p>
      <w:pPr>
        <w:pStyle w:val="Heading3"/>
      </w:pPr>
      <w:r>
        <w:t xml:space="preserve">3.2 Consumer Behavior</w:t>
      </w:r>
    </w:p>
    <w:p>
      <w:pPr>
        <w:pStyle w:val="FirstParagraph"/>
      </w:pPr>
      <w:r>
        <w:t xml:space="preserve">The consumers in</w:t>
      </w:r>
      <w:r>
        <w:t xml:space="preserve"> </w:t>
      </w:r>
      <w:r>
        <w:rPr>
          <w:bCs/>
          <w:b/>
        </w:rPr>
        <w:t xml:space="preserve">Myanmar, Yangon</w:t>
      </w:r>
      <w:r>
        <w:t xml:space="preserve">, are highly price-sensitive but also value quality and brand reputation. There is a strong preference for businesses that demonstrate social responsibility.</w:t>
      </w:r>
      <w:r>
        <w:t xml:space="preserve"> </w:t>
      </w:r>
      <w:r>
        <w:rPr>
          <w:bCs/>
          <w:b/>
        </w:rPr>
        <w:t xml:space="preserve">Mason</w:t>
      </w:r>
    </w:p>
    <w:p>
      <w:pPr>
        <w:pStyle w:val="BodyText"/>
      </w:pPr>
      <w:r>
        <w:t xml:space="preserve">s marketing strategy in this region emphasizes transparency and community benefit. By positioning itself not just as a service provider but as a contributor to the development of</w:t>
      </w:r>
      <w:r>
        <w:t xml:space="preserve"> </w:t>
      </w:r>
      <w:r>
        <w:rPr>
          <w:bCs/>
          <w:b/>
        </w:rPr>
        <w:t xml:space="preserve">Myanmar, Yangon</w:t>
      </w:r>
      <w:r>
        <w:t xml:space="preserve">, the company has gained significant consumer loyalty.</w:t>
      </w:r>
    </w:p>
    <w:bookmarkEnd w:id="23"/>
    <w:bookmarkEnd w:id="24"/>
    <w:bookmarkStart w:id="28" w:name="X9dcda466f7b3777f14d41ee548d5985d5fc94e9"/>
    <w:p>
      <w:pPr>
        <w:pStyle w:val="Heading2"/>
      </w:pPr>
      <w:r>
        <w:t xml:space="preserve">4. Operational Challenges and Strategic Responses</w:t>
      </w:r>
    </w:p>
    <w:bookmarkStart w:id="25" w:name="infrastructure-resilience"/>
    <w:p>
      <w:pPr>
        <w:pStyle w:val="Heading3"/>
      </w:pPr>
      <w:r>
        <w:t xml:space="preserve">4.1 Infrastructure Resilience</w:t>
      </w:r>
    </w:p>
    <w:p>
      <w:pPr>
        <w:pStyle w:val="FirstParagraph"/>
      </w:pPr>
      <w:r>
        <w:t xml:space="preserve">A primary challenge for any business in</w:t>
      </w:r>
      <w:r>
        <w:t xml:space="preserve"> </w:t>
      </w:r>
      <w:r>
        <w:rPr>
          <w:bCs/>
          <w:b/>
        </w:rPr>
        <w:t xml:space="preserve">Myanmar, Yangon</w:t>
      </w:r>
      <w:r>
        <w:t xml:space="preserve">, is energy reliability. Unpredictable power supply can disrupt operations severely.</w:t>
      </w:r>
      <w:r>
        <w:t xml:space="preserve"> </w:t>
      </w:r>
      <w:r>
        <w:rPr>
          <w:bCs/>
          <w:b/>
        </w:rPr>
        <w:t xml:space="preserve">Mason</w:t>
      </w:r>
    </w:p>
    <w:p>
      <w:pPr>
        <w:pStyle w:val="BodyText"/>
      </w:pPr>
      <w:r>
        <w:t xml:space="preserve">s response has been twofold: first, investing in redundant power systems including generators and solar backups; second, optimizing workflow processes to be less dependent on continuous electricity. This resilience strategy ensures that services remain uninterrupted despite external factors common in</w:t>
      </w:r>
      <w:r>
        <w:t xml:space="preserve"> </w:t>
      </w:r>
      <w:r>
        <w:rPr>
          <w:bCs/>
          <w:b/>
        </w:rPr>
        <w:t xml:space="preserve">Myanmar, Yangon</w:t>
      </w:r>
      <w:r>
        <w:t xml:space="preserve">.</w:t>
      </w:r>
    </w:p>
    <w:bookmarkEnd w:id="25"/>
    <w:bookmarkStart w:id="26" w:name="talent-acquisition-and-retention"/>
    <w:p>
      <w:pPr>
        <w:pStyle w:val="Heading3"/>
      </w:pPr>
      <w:r>
        <w:t xml:space="preserve">4.2 Talent Acquisition and Retention</w:t>
      </w:r>
    </w:p>
    <w:p>
      <w:pPr>
        <w:pStyle w:val="FirstParagraph"/>
      </w:pPr>
      <w:r>
        <w:t xml:space="preserve">Finding skilled labor is a competitive issue in</w:t>
      </w:r>
      <w:r>
        <w:t xml:space="preserve"> </w:t>
      </w:r>
      <w:r>
        <w:rPr>
          <w:bCs/>
          <w:b/>
        </w:rPr>
        <w:t xml:space="preserve">Myanmar, Yangon</w:t>
      </w:r>
      <w:r>
        <w:t xml:space="preserve">. Many young professionals seek opportunities abroad due to perceived better career prospects. To counter this brain drain,</w:t>
      </w:r>
      <w:r>
        <w:t xml:space="preserve"> </w:t>
      </w:r>
      <w:r>
        <w:rPr>
          <w:bCs/>
          <w:b/>
        </w:rPr>
        <w:t xml:space="preserve">Mason</w:t>
      </w:r>
    </w:p>
    <w:p>
      <w:pPr>
        <w:pStyle w:val="BodyText"/>
      </w:pPr>
      <w:r>
        <w:t xml:space="preserve">s has invested heavily in local training programs. By offering career development paths and competitive salaries, the company retains top talent within the local market of</w:t>
      </w:r>
      <w:r>
        <w:t xml:space="preserve"> </w:t>
      </w:r>
      <w:r>
        <w:rPr>
          <w:bCs/>
          <w:b/>
        </w:rPr>
        <w:t xml:space="preserve">Myanmar, Yangon</w:t>
      </w:r>
      <w:r>
        <w:t xml:space="preserve">. Furthermore,</w:t>
      </w:r>
      <w:r>
        <w:t xml:space="preserve"> </w:t>
      </w:r>
      <w:r>
        <w:rPr>
          <w:bCs/>
          <w:b/>
        </w:rPr>
        <w:t xml:space="preserve">Mason</w:t>
      </w:r>
    </w:p>
    <w:p>
      <w:pPr>
        <w:pStyle w:val="BodyText"/>
      </w:pPr>
      <w:r>
        <w:t xml:space="preserve">s corporate culture promotes a meritocratic environment that appeals to the ambitious youth demographic of the city.</w:t>
      </w:r>
    </w:p>
    <w:bookmarkEnd w:id="26"/>
    <w:bookmarkStart w:id="27" w:name="supply-chain-logistics"/>
    <w:p>
      <w:pPr>
        <w:pStyle w:val="Heading3"/>
      </w:pPr>
      <w:r>
        <w:t xml:space="preserve">4.3 Supply Chain Logistics</w:t>
      </w:r>
    </w:p>
    <w:p>
      <w:pPr>
        <w:pStyle w:val="FirstParagraph"/>
      </w:pPr>
      <w:r>
        <w:t xml:space="preserve">The logistics network in</w:t>
      </w:r>
      <w:r>
        <w:t xml:space="preserve"> </w:t>
      </w:r>
      <w:r>
        <w:rPr>
          <w:bCs/>
          <w:b/>
        </w:rPr>
        <w:t xml:space="preserve">Myanmar, Yangon</w:t>
      </w:r>
      <w:r>
        <w:t xml:space="preserve">, can be fragmented. Delays at customs and unpredictable transportation times affect inventory management.</w:t>
      </w:r>
      <w:r>
        <w:t xml:space="preserve"> </w:t>
      </w:r>
      <w:r>
        <w:rPr>
          <w:bCs/>
          <w:b/>
        </w:rPr>
        <w:t xml:space="preserve">Mason</w:t>
      </w:r>
    </w:p>
    <w:p>
      <w:pPr>
        <w:pStyle w:val="BodyText"/>
      </w:pPr>
      <w:r>
        <w:t xml:space="preserve">s has adopted a localized supply chain model where possible, sourcing materials and services from within the immediate vicinity of its operations in</w:t>
      </w:r>
      <w:r>
        <w:t xml:space="preserve"> </w:t>
      </w:r>
      <w:r>
        <w:rPr>
          <w:bCs/>
          <w:b/>
        </w:rPr>
        <w:t xml:space="preserve">Myanmar, Yangon</w:t>
      </w:r>
      <w:r>
        <w:t xml:space="preserve">. This reduces dependency on complex international logistics and supports the local economy, creating a mutually beneficial ecosystem.</w:t>
      </w:r>
    </w:p>
    <w:bookmarkEnd w:id="27"/>
    <w:bookmarkEnd w:id="28"/>
    <w:bookmarkStart w:id="29" w:name="Xfa59ab82cde994ba83891b7974815ecbca0b928"/>
    <w:p>
      <w:pPr>
        <w:pStyle w:val="Heading2"/>
      </w:pPr>
      <w:r>
        <w:t xml:space="preserve">5. Community Engagement and Corporate Social Responsibility (CSR)</w:t>
      </w:r>
    </w:p>
    <w:p>
      <w:pPr>
        <w:pStyle w:val="FirstParagraph"/>
      </w:pPr>
      <w:r>
        <w:t xml:space="preserve">In</w:t>
      </w:r>
      <w:r>
        <w:t xml:space="preserve"> </w:t>
      </w:r>
      <w:r>
        <w:rPr>
          <w:bCs/>
          <w:b/>
        </w:rPr>
        <w:t xml:space="preserve">Myanmar, Yangon</w:t>
      </w:r>
      <w:r>
        <w:t xml:space="preserve">, business success is inextricably linked to community standing. Buddhism plays a central role in daily life, and charitable acts are highly valued.</w:t>
      </w:r>
      <w:r>
        <w:t xml:space="preserve"> </w:t>
      </w:r>
      <w:r>
        <w:rPr>
          <w:bCs/>
          <w:b/>
        </w:rPr>
        <w:t xml:space="preserve">Mason</w:t>
      </w:r>
    </w:p>
    <w:p>
      <w:pPr>
        <w:pStyle w:val="BodyText"/>
      </w:pPr>
      <w:r>
        <w:t xml:space="preserve">s CSR initiatives focus on education support and infrastructure improvement within underserved neighborhoods of</w:t>
      </w:r>
      <w:r>
        <w:t xml:space="preserve"> </w:t>
      </w:r>
      <w:r>
        <w:rPr>
          <w:bCs/>
          <w:b/>
        </w:rPr>
        <w:t xml:space="preserve">Myanmar, Yangon</w:t>
      </w:r>
      <w:r>
        <w:t xml:space="preserve">.</w:t>
      </w:r>
    </w:p>
    <w:p>
      <w:pPr>
        <w:pStyle w:val="BodyText"/>
      </w:pPr>
      <w:r>
        <w:t xml:space="preserve">Specific projects include:</w:t>
      </w:r>
    </w:p>
    <w:p>
      <w:pPr>
        <w:numPr>
          <w:ilvl w:val="0"/>
          <w:numId w:val="1001"/>
        </w:numPr>
        <w:pStyle w:val="Compact"/>
      </w:pPr>
      <w:r>
        <w:rPr>
          <w:bCs/>
          <w:b/>
        </w:rPr>
        <w:t xml:space="preserve">Scholarship Programs:</w:t>
      </w:r>
      <w:r>
        <w:t xml:space="preserve"> </w:t>
      </w:r>
      <w:r>
        <w:t xml:space="preserve">Providing financial aid to students in</w:t>
      </w:r>
    </w:p>
    <w:p>
      <w:pPr>
        <w:numPr>
          <w:ilvl w:val="0"/>
          <w:numId w:val="1000"/>
        </w:numPr>
        <w:pStyle w:val="Compact"/>
      </w:pPr>
      <w:r>
        <w:t xml:space="preserve">Mason</w:t>
      </w:r>
    </w:p>
    <w:p>
      <w:pPr>
        <w:numPr>
          <w:ilvl w:val="0"/>
          <w:numId w:val="1000"/>
        </w:numPr>
        <w:pStyle w:val="Compact"/>
      </w:pPr>
      <w:r>
        <w:t xml:space="preserve">s target regions, fostering a future generation of skilled workers.</w:t>
      </w:r>
    </w:p>
    <w:p>
      <w:pPr>
        <w:pStyle w:val="FirstParagraph"/>
      </w:pPr>
      <w:r>
        <w:rPr>
          <w:bCs/>
          <w:b/>
        </w:rPr>
        <w:t xml:space="preserve">Clean Water Initiatives:</w:t>
      </w:r>
      <w:r>
        <w:t xml:space="preserve"> </w:t>
      </w:r>
      <w:r>
        <w:t xml:space="preserve">Partnering with local NGOs to provide clean water access, addressing a critical health need in parts of</w:t>
      </w:r>
      <w:r>
        <w:t xml:space="preserve"> </w:t>
      </w:r>
      <w:r>
        <w:rPr>
          <w:bCs/>
          <w:b/>
        </w:rPr>
        <w:t xml:space="preserve">Myanmar, Yangon</w:t>
      </w:r>
      <w:r>
        <w:t xml:space="preserve">.</w:t>
      </w:r>
    </w:p>
    <w:p>
      <w:pPr>
        <w:pStyle w:val="BodyText"/>
      </w:pPr>
      <w:r>
        <w:t xml:space="preserve">Skill Development Workshops:s offering free training in digital literacy and vocational skills to unemployed youth.</w:t>
      </w:r>
    </w:p>
    <w:p>
      <w:pPr>
        <w:pStyle w:val="BodyText"/>
      </w:pPr>
      <w:r>
        <w:t xml:space="preserve">Mason</w:t>
      </w:r>
    </w:p>
    <w:p>
      <w:pPr>
        <w:pStyle w:val="BodyText"/>
      </w:pPr>
      <w:r>
        <w:t xml:space="preserve">s operational areas but also build a strong brand reputation. The people of</w:t>
      </w:r>
      <w:r>
        <w:t xml:space="preserve"> </w:t>
      </w:r>
      <w:r>
        <w:rPr>
          <w:bCs/>
          <w:b/>
        </w:rPr>
        <w:t xml:space="preserve">Myanmar, Yangon</w:t>
      </w:r>
      <w:r>
        <w:t xml:space="preserve">, see</w:t>
      </w:r>
      <w:r>
        <w:t xml:space="preserve"> </w:t>
      </w:r>
      <w:r>
        <w:rPr>
          <w:bCs/>
          <w:b/>
        </w:rPr>
        <w:t xml:space="preserve">Mason</w:t>
      </w:r>
    </w:p>
    <w:p>
      <w:pPr>
        <w:pStyle w:val="BodyText"/>
      </w:pPr>
      <w:r>
        <w:t xml:space="preserve">s as a partner in progress, rather than just an external entity extracting value.</w:t>
      </w:r>
    </w:p>
    <w:bookmarkEnd w:id="29"/>
    <w:bookmarkStart w:id="30" w:name="financial-performance-and-sustainability"/>
    <w:p>
      <w:pPr>
        <w:pStyle w:val="Heading2"/>
      </w:pPr>
      <w:r>
        <w:t xml:space="preserve">6. Financial Performance and Sustainability</w:t>
      </w:r>
    </w:p>
    <w:p>
      <w:pPr>
        <w:pStyle w:val="FirstParagraph"/>
      </w:pPr>
      <w:r>
        <w:t xml:space="preserve">Despite the challenging environment of</w:t>
      </w:r>
      <w:r>
        <w:t xml:space="preserve"> </w:t>
      </w:r>
      <w:r>
        <w:rPr>
          <w:bCs/>
          <w:b/>
        </w:rPr>
        <w:t xml:space="preserve">Myanmar, Yangon</w:t>
      </w:r>
      <w:r>
        <w:t xml:space="preserve">,</w:t>
      </w:r>
      <w:r>
        <w:t xml:space="preserve"> </w:t>
      </w:r>
      <w:r>
        <w:rPr>
          <w:bCs/>
          <w:b/>
        </w:rPr>
        <w:t xml:space="preserve">Mason</w:t>
      </w:r>
    </w:p>
    <w:p>
      <w:pPr>
        <w:pStyle w:val="BodyText"/>
      </w:pPr>
      <w:r>
        <w:t xml:space="preserve">s financial performance has shown steady growth. The key to this stability is diversification and cost-control measures tailored to the local context.</w:t>
      </w:r>
    </w:p>
    <w:p>
      <w:pPr>
        <w:pStyle w:val="BodyText"/>
      </w:pPr>
      <w:r>
        <w:rPr>
          <w:bCs/>
          <w:b/>
        </w:rPr>
        <w:t xml:space="preserve">Revenue Streams:</w:t>
      </w:r>
    </w:p>
    <w:p>
      <w:pPr>
        <w:numPr>
          <w:ilvl w:val="0"/>
          <w:numId w:val="1002"/>
        </w:numPr>
        <w:pStyle w:val="Compact"/>
      </w:pPr>
      <w:r>
        <w:t xml:space="preserve">Diversified services reduce reliance on any single market segment.</w:t>
      </w:r>
    </w:p>
    <w:p>
      <w:pPr>
        <w:numPr>
          <w:ilvl w:val="0"/>
          <w:numId w:val="1002"/>
        </w:numPr>
        <w:pStyle w:val="Compact"/>
      </w:pPr>
      <w:r>
        <w:t xml:space="preserve">Premium pricing for high-reliability services, justified by</w:t>
      </w:r>
      <w:r>
        <w:t xml:space="preserve"> </w:t>
      </w:r>
      <w:r>
        <w:rPr>
          <w:bCs/>
          <w:b/>
        </w:rPr>
        <w:t xml:space="preserve">Mason</w:t>
      </w:r>
    </w:p>
    <w:p>
      <w:pPr>
        <w:numPr>
          <w:ilvl w:val="0"/>
          <w:numId w:val="1000"/>
        </w:numPr>
        <w:pStyle w:val="Compact"/>
      </w:pPr>
      <w:r>
        <w:t xml:space="preserve">s investment in infrastructure resilience unique to</w:t>
      </w:r>
    </w:p>
    <w:p>
      <w:pPr>
        <w:numPr>
          <w:ilvl w:val="0"/>
          <w:numId w:val="1000"/>
        </w:numPr>
        <w:pStyle w:val="Compact"/>
      </w:pPr>
      <w:r>
        <w:t xml:space="preserve">Mason</w:t>
      </w:r>
    </w:p>
    <w:p>
      <w:pPr>
        <w:numPr>
          <w:ilvl w:val="0"/>
          <w:numId w:val="1000"/>
        </w:numPr>
        <w:pStyle w:val="Compact"/>
      </w:pPr>
      <w:r>
        <w:t xml:space="preserve">s operations in</w:t>
      </w:r>
      <w:r>
        <w:t xml:space="preserve"> </w:t>
      </w:r>
      <w:r>
        <w:rPr>
          <w:bCs/>
          <w:b/>
        </w:rPr>
        <w:t xml:space="preserve">Myanmar, Yangon</w:t>
      </w:r>
      <w:r>
        <w:t xml:space="preserve">.</w:t>
      </w:r>
    </w:p>
    <w:p>
      <w:pPr>
        <w:pStyle w:val="FirstParagraph"/>
      </w:pPr>
      <w:r>
        <w:rPr>
          <w:bCs/>
          <w:b/>
        </w:rPr>
        <w:t xml:space="preserve">Sustainability Metrics:</w:t>
      </w:r>
      <w:r>
        <w:t xml:space="preserve"> </w:t>
      </w:r>
      <w:r>
        <w:rPr>
          <w:bCs/>
          <w:b/>
        </w:rPr>
        <w:t xml:space="preserve">Mason</w:t>
      </w:r>
    </w:p>
    <w:p>
      <w:pPr>
        <w:pStyle w:val="BodyText"/>
      </w:pPr>
      <w:r>
        <w:t xml:space="preserve">s success is measured not only by profit but also by its impact on the sustainability of</w:t>
      </w:r>
    </w:p>
    <w:p>
      <w:pPr>
        <w:pStyle w:val="BodyText"/>
      </w:pPr>
      <w:r>
        <w:t xml:space="preserve">Mason</w:t>
      </w:r>
    </w:p>
    <w:p>
      <w:pPr>
        <w:pStyle w:val="BodyText"/>
      </w:pPr>
      <w:r>
        <w:t xml:space="preserve">s operations in</w:t>
      </w:r>
      <w:r>
        <w:t xml:space="preserve"> </w:t>
      </w:r>
      <w:r>
        <w:rPr>
          <w:bCs/>
          <w:b/>
        </w:rPr>
        <w:t xml:space="preserve">Myanmar, Yangon</w:t>
      </w:r>
      <w:r>
        <w:t xml:space="preserve">. Long-term viability requires adapting to economic fluctuations and maintaining social license to operate.</w:t>
      </w:r>
    </w:p>
    <w:bookmarkEnd w:id="30"/>
    <w:bookmarkStart w:id="31" w:name="conclusion-and-future-outlook"/>
    <w:p>
      <w:pPr>
        <w:pStyle w:val="Heading2"/>
      </w:pPr>
      <w:r>
        <w:t xml:space="preserve">7. Conclusion and Future Outlook</w:t>
      </w:r>
    </w:p>
    <w:p>
      <w:pPr>
        <w:pStyle w:val="FirstParagraph"/>
      </w:pPr>
      <w:r>
        <w:t xml:space="preserve">The case of</w:t>
      </w:r>
      <w:r>
        <w:t xml:space="preserve"> </w:t>
      </w:r>
      <w:r>
        <w:rPr>
          <w:bCs/>
          <w:b/>
        </w:rPr>
        <w:t xml:space="preserve">Mason</w:t>
      </w:r>
    </w:p>
    <w:p>
      <w:pPr>
        <w:pStyle w:val="BodyText"/>
      </w:pPr>
      <w:r>
        <w:t xml:space="preserve">s in</w:t>
      </w:r>
    </w:p>
    <w:p>
      <w:pPr>
        <w:pStyle w:val="BodyText"/>
      </w:pPr>
      <w:r>
        <w:t xml:space="preserve">Mason</w:t>
      </w:r>
    </w:p>
    <w:p>
      <w:pPr>
        <w:pStyle w:val="BodyText"/>
      </w:pPr>
      <w:r>
        <w:t xml:space="preserve">s operations in</w:t>
      </w:r>
    </w:p>
    <w:p>
      <w:pPr>
        <w:pStyle w:val="BodyText"/>
      </w:pPr>
      <w:r>
        <w:t xml:space="preserve">Mason</w:t>
      </w:r>
    </w:p>
    <w:p>
      <w:pPr>
        <w:pStyle w:val="BodyText"/>
      </w:pPr>
      <w:r>
        <w:t xml:space="preserve">s journey demonstrates that success in emerging markets requires more than capital; it requires cultural intelligence, operational agility, and a genuine commitment to local development.</w:t>
      </w:r>
    </w:p>
    <w:p>
      <w:pPr>
        <w:pStyle w:val="BodyText"/>
      </w:pPr>
      <w:r>
        <w:t xml:space="preserve">As the economic landscape of</w:t>
      </w:r>
    </w:p>
    <w:p>
      <w:pPr>
        <w:pStyle w:val="BodyText"/>
      </w:pPr>
      <w:r>
        <w:t xml:space="preserve">Mason</w:t>
      </w:r>
    </w:p>
    <w:p>
      <w:pPr>
        <w:pStyle w:val="BodyText"/>
      </w:pPr>
      <w:r>
        <w:t xml:space="preserve">s future lies in its ability to continue adapting to the changing dynamics of</w:t>
      </w:r>
    </w:p>
    <w:p>
      <w:pPr>
        <w:pStyle w:val="BodyText"/>
      </w:pPr>
      <w:r>
        <w:t xml:space="preserve">Mason</w:t>
      </w:r>
    </w:p>
    <w:p>
      <w:pPr>
        <w:pStyle w:val="BodyText"/>
      </w:pPr>
      <w:r>
        <w:t xml:space="preserve">s strategy is well-positioned for continued growth. By remaining deeply rooted in the context of</w:t>
      </w:r>
    </w:p>
    <w:p>
      <w:pPr>
        <w:pStyle w:val="BodyText"/>
      </w:pPr>
      <w:r>
        <w:t xml:space="preserve">Mason</w:t>
      </w:r>
    </w:p>
    <w:p>
      <w:pPr>
        <w:pStyle w:val="BodyText"/>
      </w:pPr>
      <w:r>
        <w:t xml:space="preserve">s story is a testament to the potential of responsible business practices in challenging environments.</w:t>
      </w:r>
    </w:p>
    <w:bookmarkEnd w:id="31"/>
    <w:bookmarkStart w:id="32" w:name="key-takeaways"/>
    <w:p>
      <w:pPr>
        <w:pStyle w:val="Heading2"/>
      </w:pPr>
      <w:r>
        <w:t xml:space="preserve">8. Key Takeaways</w:t>
      </w:r>
    </w:p>
    <w:p>
      <w:pPr>
        <w:numPr>
          <w:ilvl w:val="0"/>
          <w:numId w:val="1003"/>
        </w:numPr>
        <w:pStyle w:val="Compact"/>
      </w:pPr>
      <w:r>
        <w:rPr>
          <w:bCs/>
          <w:b/>
        </w:rPr>
        <w:t xml:space="preserve">Cultural Integration is Critical:</w:t>
      </w:r>
      <w:r>
        <w:t xml:space="preserve"> </w:t>
      </w:r>
      <w:r>
        <w:t xml:space="preserve">For</w:t>
      </w:r>
      <w:r>
        <w:t xml:space="preserve"> </w:t>
      </w:r>
      <w:r>
        <w:rPr>
          <w:bCs/>
          <w:b/>
        </w:rPr>
        <w:t xml:space="preserve">Mason</w:t>
      </w:r>
    </w:p>
    <w:p>
      <w:pPr>
        <w:numPr>
          <w:ilvl w:val="0"/>
          <w:numId w:val="1000"/>
        </w:numPr>
        <w:pStyle w:val="Compact"/>
      </w:pPr>
      <w:r>
        <w:t xml:space="preserve">s success in</w:t>
      </w:r>
    </w:p>
    <w:p>
      <w:pPr>
        <w:numPr>
          <w:ilvl w:val="0"/>
          <w:numId w:val="1000"/>
        </w:numPr>
        <w:pStyle w:val="Compact"/>
      </w:pPr>
      <w:r>
        <w:t xml:space="preserve">Mason</w:t>
      </w:r>
    </w:p>
    <w:p>
      <w:pPr>
        <w:numPr>
          <w:ilvl w:val="0"/>
          <w:numId w:val="1000"/>
        </w:numPr>
        <w:pStyle w:val="Compact"/>
      </w:pPr>
      <w:r>
        <w:t xml:space="preserve">s strategy highlights the importance of adapting to local customs and values.</w:t>
      </w:r>
    </w:p>
    <w:p>
      <w:pPr>
        <w:numPr>
          <w:ilvl w:val="0"/>
          <w:numId w:val="1003"/>
        </w:numPr>
        <w:pStyle w:val="Compact"/>
      </w:pPr>
      <w:r>
        <w:t xml:space="preserve">Infrastructure Resilience Pays Off:s investment in self-sufficient operations allows it to outperform competitors who are vulnerable to infrastructure failures in</w:t>
      </w:r>
    </w:p>
    <w:p>
      <w:pPr>
        <w:numPr>
          <w:ilvl w:val="0"/>
          <w:numId w:val="1000"/>
        </w:numPr>
        <w:pStyle w:val="Compact"/>
      </w:pPr>
      <w:r>
        <w:t xml:space="preserve">Mason</w:t>
      </w:r>
    </w:p>
    <w:p>
      <w:pPr>
        <w:numPr>
          <w:ilvl w:val="0"/>
          <w:numId w:val="1000"/>
        </w:numPr>
        <w:pStyle w:val="Compact"/>
      </w:pPr>
      <w:r>
        <w:t xml:space="preserve">s model is transferable to other regions with similar challenges.</w:t>
      </w:r>
    </w:p>
    <w:p>
      <w:pPr>
        <w:numPr>
          <w:ilvl w:val="0"/>
          <w:numId w:val="1003"/>
        </w:numPr>
        <w:pStyle w:val="Compact"/>
      </w:pPr>
      <w:r>
        <w:rPr>
          <w:bCs/>
          <w:b/>
        </w:rPr>
        <w:t xml:space="preserve">Social License Enhances Profitability:</w:t>
      </w:r>
      <w:r>
        <w:t xml:space="preserve"> </w:t>
      </w:r>
      <w:r>
        <w:t xml:space="preserve">By engaging meaningfully with the community of</w:t>
      </w:r>
    </w:p>
    <w:p>
      <w:pPr>
        <w:numPr>
          <w:ilvl w:val="0"/>
          <w:numId w:val="1000"/>
        </w:numPr>
        <w:pStyle w:val="Compact"/>
      </w:pPr>
      <w:r>
        <w:t xml:space="preserve">Mason</w:t>
      </w:r>
    </w:p>
    <w:p>
      <w:pPr>
        <w:numPr>
          <w:ilvl w:val="0"/>
          <w:numId w:val="1000"/>
        </w:numPr>
        <w:pStyle w:val="Compact"/>
      </w:pPr>
      <w:r>
        <w:t xml:space="preserve">s CSR efforts have built a reservoir of goodwill that translates into customer loyalty and brand strength.</w:t>
      </w:r>
    </w:p>
    <w:p>
      <w:pPr>
        <w:pStyle w:val="FirstParagraph"/>
      </w:pPr>
      <w:r>
        <w:t xml:space="preserve">This Case Study serves as a blueprint for understanding how entities like</w:t>
      </w:r>
      <w:r>
        <w:t xml:space="preserve"> </w:t>
      </w:r>
      <w:r>
        <w:rPr>
          <w:bCs/>
          <w:b/>
        </w:rPr>
        <w:t xml:space="preserve">Mason</w:t>
      </w:r>
    </w:p>
    <w:p>
      <w:pPr>
        <w:pStyle w:val="BodyText"/>
      </w:pPr>
      <w:r>
        <w:t xml:space="preserve">s can thrive in complex markets like</w:t>
      </w:r>
    </w:p>
    <w:p>
      <w:pPr>
        <w:pStyle w:val="BodyText"/>
      </w:pPr>
      <w:r>
        <w:t xml:space="preserve">Mason</w:t>
      </w:r>
    </w:p>
    <w:p>
      <w:pPr>
        <w:pStyle w:val="BodyText"/>
      </w:pPr>
      <w:r>
        <w:t xml:space="preserve">s approach offers valuable lessons for global businesses looking to enter or expand in Southeast Asia.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2026-07-29T09:22:34Z</dcterms:created>
  <dcterms:modified xsi:type="dcterms:W3CDTF">2026-07-29T09:22:34Z</dcterms:modified>
</cp:coreProperties>
</file>

<file path=docProps/custom.xml><?xml version="1.0" encoding="utf-8"?>
<Properties xmlns="http://schemas.openxmlformats.org/officeDocument/2006/custom-properties" xmlns:vt="http://schemas.openxmlformats.org/officeDocument/2006/docPropsVTypes"/>
</file>