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Strategic</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6361385c65e665f63c4835148626f34154de86f"/>
    <w:p>
      <w:pPr>
        <w:pStyle w:val="Heading1"/>
      </w:pPr>
      <w:r>
        <w:t xml:space="preserve">Case Study: Mason – A Strategic Profile for New Zealand Wellington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Review</w:t>
      </w:r>
      <w:r>
        <w:br/>
      </w:r>
      <w:r>
        <w:rPr>
          <w:bCs/>
          <w:b/>
        </w:rPr>
        <w:t xml:space="preserve">Jurisdiction:</w:t>
      </w:r>
      <w:r>
        <w:t xml:space="preserve"> </w:t>
      </w:r>
      <w:r>
        <w:t xml:space="preserve">New Zealand Wellington</w:t>
      </w:r>
    </w:p>
    <w:bookmarkStart w:id="20" w:name="executive-summary"/>
    <w:p>
      <w:pPr>
        <w:pStyle w:val="Heading2"/>
      </w:pPr>
      <w:r>
        <w:t xml:space="preserve">Executive Summary</w:t>
      </w:r>
    </w:p>
    <w:p>
      <w:pPr>
        <w:pStyle w:val="FirstParagraph"/>
      </w:pPr>
      <w:r>
        <w:t xml:space="preserve">This document serves as a detailed Case Study regarding the individual known as Mason. The primary objective of this analysis is to evaluate the professional, social, and logistical implications of integrating Mason into the dynamic environment of New Zealand Wellington. As a rapidly evolving cultural and economic hub, Wellington presents unique opportunities and specific challenges for new residents or business entities. This Case Study aims to provide a holistic view of how Mason can navigate these waters effectively, leveraging local resources while adhering to the distinct regulatory and social frameworks that define life in New Zealand Wellington.</w:t>
      </w:r>
    </w:p>
    <w:bookmarkEnd w:id="20"/>
    <w:bookmarkStart w:id="21" w:name="background-context"/>
    <w:p>
      <w:pPr>
        <w:pStyle w:val="Heading2"/>
      </w:pPr>
      <w:r>
        <w:t xml:space="preserve">Background Context</w:t>
      </w:r>
    </w:p>
    <w:p>
      <w:pPr>
        <w:pStyle w:val="FirstParagraph"/>
      </w:pPr>
      <w:r>
        <w:t xml:space="preserve">To understand the significance of this Case Study, one must first appreciate the specific geography and ethos of New Zealand Wellington. Known as "Windy Welly" due to its persistent breezes, Wellington is not merely a capital city but a vibrant intersection of creative industries, government administration, and technological innovation. It is a compact yet culturally dense metropolis where proximity matters, and community networks are tightly woven.</w:t>
      </w:r>
    </w:p>
    <w:p>
      <w:pPr>
        <w:pStyle w:val="BodyText"/>
      </w:pPr>
      <w:r>
        <w:t xml:space="preserve">Mason arrives in this environment with the intent of establishing either long-term residency or strategic business operations. The Case Study posits that success for Mason is not guaranteed by capital or skill alone; rather, it requires a nuanced understanding of local customs, housing markets, and professional networking etiquette specific to New Zealand Wellington. The integration process for Mason must be viewed through a lens of cultural humility and strategic patience.</w:t>
      </w:r>
    </w:p>
    <w:bookmarkEnd w:id="21"/>
    <w:bookmarkStart w:id="23" w:name="phase-i-professional-integration"/>
    <w:p>
      <w:pPr>
        <w:pStyle w:val="Heading2"/>
      </w:pPr>
      <w:r>
        <w:t xml:space="preserve">Phase I: Professional Integration</w:t>
      </w:r>
    </w:p>
    <w:p>
      <w:pPr>
        <w:pStyle w:val="FirstParagraph"/>
      </w:pPr>
      <w:r>
        <w:t xml:space="preserve">The first pillar of Mason’s journey in New Zealand Wellington involves professional assimilation. The job market in this region is highly specialized, with strongholds in creative arts, digital technology, film production (bolstered by Weta Workshop and other major studios), and public sector services. For Mason to thrive, the Case Study identifies three critical actions:</w:t>
      </w:r>
    </w:p>
    <w:p>
      <w:pPr>
        <w:numPr>
          <w:ilvl w:val="0"/>
          <w:numId w:val="1001"/>
        </w:numPr>
        <w:pStyle w:val="Compact"/>
      </w:pPr>
      <w:r>
        <w:rPr>
          <w:bCs/>
          <w:b/>
        </w:rPr>
        <w:t xml:space="preserve">Networking Etiquette:</w:t>
      </w:r>
      <w:r>
        <w:t xml:space="preserve"> </w:t>
      </w:r>
      <w:r>
        <w:t xml:space="preserve">In New Zealand Wellington, business is often conducted with a blend of professionalism and casual friendliness. The "no stupid questions" mentality and flat hierarchies are common. Mason must adopt an approachable demeanor, avoiding overly aggressive sales tactics in favor of collaborative problem-solving.</w:t>
      </w:r>
    </w:p>
    <w:p>
      <w:pPr>
        <w:numPr>
          <w:ilvl w:val="0"/>
          <w:numId w:val="1001"/>
        </w:numPr>
        <w:pStyle w:val="Compact"/>
      </w:pPr>
      <w:r>
        <w:rPr>
          <w:bCs/>
          <w:b/>
        </w:rPr>
        <w:t xml:space="preserve">Sector Alignment:</w:t>
      </w:r>
      <w:r>
        <w:t xml:space="preserve"> </w:t>
      </w:r>
      <w:r>
        <w:t xml:space="preserve">Mason’s skills must be mapped against the current demands of the Wellington economy. With a high concentration of startups and tech firms in areas like Te Aro and Thorndon, identifying the right ecosystem is crucial. The Case Study suggests that Mason engage with local innovation hubs to gain visibility.</w:t>
      </w:r>
    </w:p>
    <w:p>
      <w:pPr>
        <w:numPr>
          <w:ilvl w:val="0"/>
          <w:numId w:val="1001"/>
        </w:numPr>
        <w:pStyle w:val="Compact"/>
      </w:pPr>
      <w:r>
        <w:rPr>
          <w:bCs/>
          <w:b/>
        </w:rPr>
        <w:t xml:space="preserve">Regulatory Compliance:</w:t>
      </w:r>
      <w:r>
        <w:t xml:space="preserve"> </w:t>
      </w:r>
      <w:r>
        <w:t xml:space="preserve">Understanding employment law in New Zealand is paramount. Mason must familiarize himself with the Employment Relations Authority processes and standard contract terms prevalent in New Zealand Wellington to avoid future disputes.</w:t>
      </w:r>
    </w:p>
    <w:bookmarkStart w:id="22" w:name="key-insight-for-mason"/>
    <w:p>
      <w:pPr>
        <w:pStyle w:val="Heading3"/>
      </w:pPr>
      <w:r>
        <w:t xml:space="preserve">Key Insight for Mason</w:t>
      </w:r>
    </w:p>
    <w:p>
      <w:pPr>
        <w:pStyle w:val="FirstParagraph"/>
      </w:pPr>
      <w:r>
        <w:t xml:space="preserve">The professional landscape of New Zealand Wellington values "kiwi ingenuity" – the ability to be resourceful and practical. Mason should highlight examples in his portfolio where he solved complex problems with limited resources, as this resonates deeply with local employers.</w:t>
      </w:r>
    </w:p>
    <w:bookmarkEnd w:id="22"/>
    <w:bookmarkEnd w:id="23"/>
    <w:bookmarkStart w:id="24" w:name="X0351b3b13c06277f8cdaf00a5f08bdfaac68702"/>
    <w:p>
      <w:pPr>
        <w:pStyle w:val="Heading2"/>
      </w:pPr>
      <w:r>
        <w:t xml:space="preserve">Phase II: Housing and Lifestyle Adaptation</w:t>
      </w:r>
    </w:p>
    <w:p>
      <w:pPr>
        <w:pStyle w:val="FirstParagraph"/>
      </w:pPr>
      <w:r>
        <w:t xml:space="preserve">Housing is perhaps the most significant hurdle for any newcomer to New Zealand Wellington. The city faces a chronic housing shortage, characterized by high rental prices and competitive purchase markets. For Mason, this presents a logistical challenge that requires immediate attention upon arrival.</w:t>
      </w:r>
    </w:p>
    <w:p>
      <w:pPr>
        <w:pStyle w:val="BodyText"/>
      </w:pPr>
      <w:r>
        <w:t xml:space="preserve">The Case Study analyzes various neighborhoods within New Zealand Wellington to determine optimal living situations for Mason based on his budget and lifestyle preferences:</w:t>
      </w:r>
    </w:p>
    <w:p>
      <w:pPr>
        <w:numPr>
          <w:ilvl w:val="0"/>
          <w:numId w:val="1002"/>
        </w:numPr>
        <w:pStyle w:val="Compact"/>
      </w:pPr>
      <w:r>
        <w:rPr>
          <w:bCs/>
          <w:b/>
        </w:rPr>
        <w:t xml:space="preserve">The Eastern Suburbs (Oriental Bay, Kelburn):</w:t>
      </w:r>
      <w:r>
        <w:t xml:space="preserve"> </w:t>
      </w:r>
      <w:r>
        <w:t xml:space="preserve">While prestigious and close to the waterfront, these areas are expensive. Mason might find these suitable if he prioritizes proximity to CBD offices but should be prepared for premium costs.</w:t>
      </w:r>
    </w:p>
    <w:p>
      <w:pPr>
        <w:numPr>
          <w:ilvl w:val="0"/>
          <w:numId w:val="1002"/>
        </w:numPr>
        <w:pStyle w:val="Compact"/>
      </w:pPr>
      <w:r>
        <w:rPr>
          <w:bCs/>
          <w:b/>
        </w:rPr>
        <w:t xml:space="preserve">The Hutt Valley:</w:t>
      </w:r>
      <w:r>
        <w:t xml:space="preserve"> </w:t>
      </w:r>
      <w:r>
        <w:t xml:space="preserve">Offering better value for money, this area provides a more suburban feel. However, Mason must consider commute times and reliability of transport links to the central business district of New Zealand Wellington.</w:t>
      </w:r>
    </w:p>
    <w:p>
      <w:pPr>
        <w:numPr>
          <w:ilvl w:val="0"/>
          <w:numId w:val="1002"/>
        </w:numPr>
        <w:pStyle w:val="Compact"/>
      </w:pPr>
      <w:r>
        <w:rPr>
          <w:bCs/>
          <w:b/>
        </w:rPr>
        <w:t xml:space="preserve">Brownsea and Evans Bay:</w:t>
      </w:r>
      <w:r>
        <w:t xml:space="preserve"> </w:t>
      </w:r>
      <w:r>
        <w:t xml:space="preserve">These areas offer a balance between affordability and convenience, often favored by young professionals. For Mason, these neighborhoods provide excellent access to community groups and local cafes, facilitating social integration.</w:t>
      </w:r>
    </w:p>
    <w:p>
      <w:pPr>
        <w:pStyle w:val="FirstParagraph"/>
      </w:pPr>
      <w:r>
        <w:t xml:space="preserve">Lifestyle adaptation also involves embracing the outdoor culture. Wellingtonians are renowned for their love of hiking and cycling. Mason’s Case Study profile includes recommendations for joining local clubs or trail groups in the nearby Hutt Valley or Porirua forests to meet locals organically, breaking down social barriers through shared activity.</w:t>
      </w:r>
    </w:p>
    <w:bookmarkEnd w:id="24"/>
    <w:bookmarkStart w:id="27" w:name="X6978d9e10391dfadb363f8956aa69f185cbd184"/>
    <w:p>
      <w:pPr>
        <w:pStyle w:val="Heading2"/>
      </w:pPr>
      <w:r>
        <w:t xml:space="preserve">Phase III: Cultural and Social Integration</w:t>
      </w:r>
    </w:p>
    <w:p>
      <w:pPr>
        <w:pStyle w:val="FirstParagraph"/>
      </w:pPr>
      <w:r>
        <w:t xml:space="preserve">Cultural integration is the glue that holds long-term success in New Zealand Wellington together. This region has a rich history involving both Māori heritage and Pākehā (European-descendant) influences, as well as growing multicultural communities from the Pacific Islands and Asia.</w:t>
      </w:r>
    </w:p>
    <w:bookmarkStart w:id="25" w:name="understanding-te-ao-māori"/>
    <w:p>
      <w:pPr>
        <w:pStyle w:val="Heading3"/>
      </w:pPr>
      <w:r>
        <w:t xml:space="preserve">Understanding Te Ao Māori</w:t>
      </w:r>
    </w:p>
    <w:p>
      <w:pPr>
        <w:pStyle w:val="FirstParagraph"/>
      </w:pPr>
      <w:r>
        <w:t xml:space="preserve">Mason must demonstrate respect for indigenous culture. In New Zealand Wellington, this is visible in everything from greeting protocols to place names. The Case Study advises Mason to learn basic Māori phrases such as "Kia ora" (Hello/Be well) and "Haere rā" (Goodbye). Understanding the concept of</w:t>
      </w:r>
      <w:r>
        <w:t xml:space="preserve"> </w:t>
      </w:r>
      <w:r>
        <w:rPr>
          <w:iCs/>
          <w:i/>
        </w:rPr>
        <w:t xml:space="preserve">Tikanga</w:t>
      </w:r>
      <w:r>
        <w:t xml:space="preserve"> </w:t>
      </w:r>
      <w:r>
        <w:t xml:space="preserve">(customs and protocols) is essential for respectful interaction in both social and professional settings.</w:t>
      </w:r>
    </w:p>
    <w:bookmarkEnd w:id="25"/>
    <w:bookmarkStart w:id="26" w:name="social-cohesion"/>
    <w:p>
      <w:pPr>
        <w:pStyle w:val="Heading3"/>
      </w:pPr>
      <w:r>
        <w:t xml:space="preserve">Social Cohesion</w:t>
      </w:r>
    </w:p>
    <w:p>
      <w:pPr>
        <w:pStyle w:val="FirstParagraph"/>
      </w:pPr>
      <w:r>
        <w:t xml:space="preserve">The social fabric of New Zealand Wellington is tight-knit. It operates on a reputation economy; word travels fast. Mason’s Case Study emphasizes the importance of consistency, reliability, and community involvement. Participating in local events, such as the Wellington Festival or neighborhood clean-up drives (a common civic duty in many suburbs), can accelerate acceptance into local circles.</w:t>
      </w:r>
    </w:p>
    <w:bookmarkEnd w:id="26"/>
    <w:bookmarkEnd w:id="27"/>
    <w:bookmarkStart w:id="28" w:name="risk-assessment-for-mason"/>
    <w:p>
      <w:pPr>
        <w:pStyle w:val="Heading2"/>
      </w:pPr>
      <w:r>
        <w:t xml:space="preserve">Risk Assessment for Mason</w:t>
      </w:r>
    </w:p>
    <w:p>
      <w:pPr>
        <w:pStyle w:val="FirstParagraph"/>
      </w:pPr>
      <w:r>
        <w:t xml:space="preserve">No Case Study is complete without identifying potential pitfalls. For Mason in New Zealand Wellington, the primary risks include:</w:t>
      </w:r>
    </w:p>
    <w:p>
      <w:pPr>
        <w:numPr>
          <w:ilvl w:val="0"/>
          <w:numId w:val="1003"/>
        </w:numPr>
        <w:pStyle w:val="Compact"/>
      </w:pPr>
      <w:r>
        <w:rPr>
          <w:bCs/>
          <w:b/>
        </w:rPr>
        <w:t xml:space="preserve">Housing Instability:</w:t>
      </w:r>
      <w:r>
        <w:t xml:space="preserve"> </w:t>
      </w:r>
      <w:r>
        <w:t xml:space="preserve">Without a local credit history or guarantor, securing housing can be difficult. Mason should prepare documentation meticulously before arrival.</w:t>
      </w:r>
    </w:p>
    <w:p>
      <w:pPr>
        <w:numPr>
          <w:ilvl w:val="0"/>
          <w:numId w:val="1003"/>
        </w:numPr>
        <w:pStyle w:val="Compact"/>
      </w:pPr>
      <w:r>
        <w:rPr>
          <w:bCs/>
          <w:b/>
        </w:rPr>
        <w:t xml:space="preserve">Cultural Missteps:</w:t>
      </w:r>
      <w:r>
        <w:t xml:space="preserve"> </w:t>
      </w:r>
      <w:r>
        <w:t xml:space="preserve">Unintentional insensitivity to local cultural norms can hinder social and professional progress. Continuous learning is required.</w:t>
      </w:r>
    </w:p>
    <w:p>
      <w:pPr>
        <w:numPr>
          <w:ilvl w:val="0"/>
          <w:numId w:val="1003"/>
        </w:numPr>
        <w:pStyle w:val="Compact"/>
      </w:pPr>
      <w:r>
        <w:rPr>
          <w:bCs/>
          <w:b/>
        </w:rPr>
        <w:t xml:space="preserve">Economic Volatility:</w:t>
      </w:r>
      <w:r>
        <w:t xml:space="preserve"> </w:t>
      </w:r>
      <w:r>
        <w:t xml:space="preserve">As a service-based economy, New Zealand Wellington is sensitive to global shifts. Mason should diversify his income streams or skill set to remain resilient.</w:t>
      </w:r>
    </w:p>
    <w:bookmarkEnd w:id="28"/>
    <w:bookmarkStart w:id="29" w:name="conclusion-and-strategic-recommendations"/>
    <w:p>
      <w:pPr>
        <w:pStyle w:val="Heading2"/>
      </w:pPr>
      <w:r>
        <w:t xml:space="preserve">Conclusion and Strategic Recommendations</w:t>
      </w:r>
    </w:p>
    <w:p>
      <w:pPr>
        <w:pStyle w:val="FirstParagraph"/>
      </w:pPr>
      <w:r>
        <w:t xml:space="preserve">In conclusion, this Case Study affirms that while challenges exist, Mason has a high probability of success in New Zealand Wellington provided he adopts a strategic, respectful, and proactive approach. The key to thriving in this environment is not just professional competence but social intelligence.</w:t>
      </w:r>
    </w:p>
    <w:p>
      <w:pPr>
        <w:pStyle w:val="BodyText"/>
      </w:pPr>
      <w:r>
        <w:rPr>
          <w:bCs/>
          <w:b/>
        </w:rPr>
        <w:t xml:space="preserve">Final Recommendations for Mason:</w:t>
      </w:r>
    </w:p>
    <w:p>
      <w:pPr>
        <w:numPr>
          <w:ilvl w:val="0"/>
          <w:numId w:val="1004"/>
        </w:numPr>
        <w:pStyle w:val="Compact"/>
      </w:pPr>
      <w:r>
        <w:t xml:space="preserve">Prioritize networking within the specific industry clusters of New Zealand Wellington.</w:t>
      </w:r>
    </w:p>
    <w:p>
      <w:pPr>
        <w:numPr>
          <w:ilvl w:val="0"/>
          <w:numId w:val="1004"/>
        </w:numPr>
        <w:pStyle w:val="Compact"/>
      </w:pPr>
      <w:r>
        <w:t xml:space="preserve">Treat housing search as a full-time job initially, considering temporary accommodation to reduce stress.</w:t>
      </w:r>
    </w:p>
    <w:p>
      <w:pPr>
        <w:numPr>
          <w:ilvl w:val="0"/>
          <w:numId w:val="1004"/>
        </w:numPr>
        <w:pStyle w:val="Compact"/>
      </w:pPr>
      <w:r>
        <w:t xml:space="preserve">Educate himself continuously on Māori culture and local history.</w:t>
      </w:r>
    </w:p>
    <w:p>
      <w:pPr>
        <w:pStyle w:val="FirstParagraph"/>
      </w:pPr>
      <w:r>
        <w:t xml:space="preserve">Mason’s journey in New Zealand Wellington will be defined by his ability to adapt to its unique rhythm. By aligning his personal brand with the values of innovation, community, and sustainability that define modern New Zealand Wellington, Mason can transform from a newcomer into a valued member of this vibrant capital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Strategic Integration in New Zealand Wellington</dc:title>
  <dc:creator/>
  <dc:language>en</dc:language>
  <cp:keywords/>
  <dcterms:created xsi:type="dcterms:W3CDTF">2026-07-29T13:01:24Z</dcterms:created>
  <dcterms:modified xsi:type="dcterms:W3CDTF">2026-07-29T13:01:24Z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