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Mason</w:t>
      </w:r>
      <w:r>
        <w:t xml:space="preserve"> </w:t>
      </w:r>
      <w:r>
        <w:t xml:space="preserve">in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20" w:name="X12a255496fa9101c10c514772b12bd39d1d7915"/>
    <w:p>
      <w:pPr>
        <w:pStyle w:val="Heading1"/>
      </w:pPr>
      <w:r>
        <w:t xml:space="preserve">The Transformational Impact of Mason in Nigeria Abuja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Status:</w:t>
      </w:r>
      <w:r>
        <w:t xml:space="preserve"> </w:t>
      </w:r>
      <w:r>
        <w:t xml:space="preserve">Completed Phase One</w:t>
      </w:r>
      <w:r>
        <w:br/>
      </w:r>
      <w:r>
        <w:rPr>
          <w:bCs/>
          <w:b/>
        </w:rPr>
        <w:t xml:space="preserve">Locus Focus: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Mason in Nigeria Abuja</dc:title>
  <dc:creator/>
  <dc:language>en</dc:language>
  <cp:keywords/>
  <dcterms:created xsi:type="dcterms:W3CDTF">2026-09-25T15:02:54Z</dcterms:created>
  <dcterms:modified xsi:type="dcterms:W3CDTF">2026-09-25T15:02:54Z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