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Mason</w:t>
      </w:r>
      <w:r>
        <w:t xml:space="preserve"> </w:t>
      </w:r>
      <w:r>
        <w:t xml:space="preserve">in</w:t>
      </w:r>
      <w:r>
        <w:t xml:space="preserve"> </w:t>
      </w:r>
      <w:r>
        <w:t xml:space="preserve">Pakistan</w:t>
      </w:r>
      <w:r>
        <w:t xml:space="preserve"> </w:t>
      </w:r>
      <w:r>
        <w:t xml:space="preserve">Islamabad</w:t>
      </w:r>
    </w:p>
    <w:bookmarkStart w:id="25" w:name="X9d4ee4bc04b0225f3c556337acf26f54275fffc"/>
    <w:p>
      <w:pPr>
        <w:pStyle w:val="Heading1"/>
      </w:pPr>
      <w:r>
        <w:t xml:space="preserve">Case Study Analysis of the Mason in Pakistan Islamabad</w:t>
      </w:r>
    </w:p>
    <w:p>
      <w:pPr>
        <w:pStyle w:val="FirstParagraph"/>
      </w:pPr>
      <w:r>
        <w:rPr>
          <w:bCs/>
          <w:b/>
        </w:rPr>
        <w:t xml:space="preserve">Date:</w:t>
      </w:r>
      <w:r>
        <w:t xml:space="preserve"> </w:t>
      </w:r>
      <w:r>
        <w:t xml:space="preserve">October 2023</w:t>
      </w:r>
      <w:r>
        <w:br/>
      </w:r>
      <w:r>
        <w:rPr>
          <w:bCs/>
          <w:b/>
        </w:rPr>
        <w:t xml:space="preserve">Jurisdiction:</w:t>
      </w:r>
      <w:r>
        <w:t xml:space="preserve">Pakistan, Islamabad Capital Territory (ICT)</w:t>
      </w:r>
      <w:r>
        <w:br/>
      </w:r>
      <w:r>
        <w:rPr>
          <w:vertAlign w:val="subscript"/>
        </w:rPr>
        <w:t xml:space="preserve">Judge: Honorable Justice [Name Redacted], High Court of Islamabad</w:t>
      </w:r>
    </w:p>
    <w:bookmarkStart w:id="20" w:name="i.-introduction-and-background"/>
    <w:p>
      <w:pPr>
        <w:pStyle w:val="Heading2"/>
      </w:pPr>
      <w:r>
        <w:t xml:space="preserve">I. Introduction and Background</w:t>
      </w:r>
    </w:p>
    <w:p>
      <w:pPr>
        <w:pStyle w:val="FirstParagraph"/>
      </w:pPr>
      <w:r>
        <w:t xml:space="preserve">This case study examines the legal proceedings concerning a labor dispute involving a construction worker, commonly referred to in local terminology as a "Mason," within the rapidly developing urban infrastructure of Pakistan Islamabad. The jurisdiction of this matter falls squarely under the High Court of Islamabad, given that the alleged incident and employment relationship occurred within the geographic boundaries of Islamabad Capital Territory (ICT). This case is pivotal as it highlights the intersection between traditional labor practices in Pakistan and modern statutory protections enforced by Pakistani law.</w:t>
      </w:r>
    </w:p>
    <w:p>
      <w:pPr>
        <w:pStyle w:val="BodyText"/>
      </w:pPr>
      <w:r>
        <w:t xml:space="preserve">Pakistan Islamabad stands as a unique administrative entity, distinct from any province, which introduces specific layers of legal complexity. The Masons working in this region often migrate from rural provinces such as Punjab and Sindh, bringing with them customary work arrangements that frequently clash with the statutory labor laws applicable in the federal capital. The primary objective of this study is to analyze how the judicial system in Pakistan Islamabad addresses grievances related to non-payment of wages, unsafe working conditions, and lack of contractual security for these vital yet vulnerable workers.</w:t>
      </w:r>
    </w:p>
    <w:bookmarkEnd w:id="20"/>
    <w:bookmarkStart w:id="21" w:name="ii.-statement-of-facts"/>
    <w:p>
      <w:pPr>
        <w:pStyle w:val="Heading2"/>
      </w:pPr>
      <w:r>
        <w:t xml:space="preserve">II. Statement of Facts</w:t>
      </w:r>
    </w:p>
    <w:p>
      <w:pPr>
        <w:pStyle w:val="FirstParagraph"/>
      </w:pPr>
      <w:r>
        <w:t xml:space="preserve">The plaintiff in this matter is a skilled Mason who has been engaged in the construction industry in Pakistan Islamabad for over a decade. He was employed by a private contracting firm hired to execute structural work on a residential project located in Sector F-10, Islamabad. The employment relationship was verbal and informal, lacking any written contract or registration with the local labor authorities.</w:t>
      </w:r>
    </w:p>
    <w:p>
      <w:pPr>
        <w:pStyle w:val="BodyText"/>
      </w:pPr>
      <w:r>
        <w:t xml:space="preserve">The dispute arose when the Mason ceased receiving wages for a period of three months. Despite repeated requests to the site supervisor and subsequently to the main contractor, no payment was made. Furthermore, during this period, the Mason suffered a minor injury due to inadequate safety protocols on the site in Islamabad. When he sought medical attention and compensation from his employer, he was terminated without notice or severance pay.</w:t>
      </w:r>
    </w:p>
    <w:p>
      <w:pPr>
        <w:pStyle w:val="BodyText"/>
      </w:pPr>
      <w:r>
        <w:t xml:space="preserve">The core of the controversy lies in whether the Mains' rights are protected under federal labor laws applicable in Pakistan Islamabad, and whether the lack of a written contract invalidates his claim for restitution. The defendant, representing the contracting firm, argued that since no formal employment agreement existed within their internal records registered with any provincial or federal authority specific to Pakistan Islamabad, no legal obligation existed toward the worker.</w:t>
      </w:r>
    </w:p>
    <w:bookmarkEnd w:id="21"/>
    <w:bookmarkStart w:id="22" w:name="iii.-legal-issues-and-arguments"/>
    <w:p>
      <w:pPr>
        <w:pStyle w:val="Heading2"/>
      </w:pPr>
      <w:r>
        <w:t xml:space="preserve">III. Legal Issues and Arguments</w:t>
      </w:r>
    </w:p>
    <w:p>
      <w:pPr>
        <w:pStyle w:val="FirstParagraph"/>
      </w:pPr>
      <w:r>
        <w:t xml:space="preserve">The central legal issue concerns the interpretation of "worker" under the Industrial and Commercial Employment (Standing Orders) Ordinance, 1968, as applied to Islamabad Capital Territory. The plaintiff’s counsel argued that in Pakistan Islamabad, any individual performing manual labor for remuneration qualifies as a worker regardless of contract formalities. They cited precedents where the High Court of Islamabad has consistently ruled against employers attempting to bypass labor obligations through informal hiring practices.</w:t>
      </w:r>
    </w:p>
    <w:p>
      <w:pPr>
        <w:pStyle w:val="BodyText"/>
      </w:pPr>
      <w:r>
        <w:t xml:space="preserve">Conversely, the defense relied on administrative loopholes, claiming that certain private residential projects in Pakistan Islamabad fall outside strict industrial oversight. They argued that the term "Mason" implies a skilled artisan often hired for short-term tasks rather than long-term employment, thereby exempting them from standard labor protections enforced in major Pakistani provinces. This argument attempts to isolate the Mason's rights from the broader legal framework governing Pakistan Islamabad’s construction sector.</w:t>
      </w:r>
    </w:p>
    <w:bookmarkEnd w:id="22"/>
    <w:bookmarkStart w:id="23" w:name="iv.-judicial-reasoning-and-analysis"/>
    <w:p>
      <w:pPr>
        <w:pStyle w:val="Heading2"/>
      </w:pPr>
      <w:r>
        <w:t xml:space="preserve">IV. Judicial Reasoning and Analysis</w:t>
      </w:r>
    </w:p>
    <w:p>
      <w:pPr>
        <w:pStyle w:val="FirstParagraph"/>
      </w:pPr>
      <w:r>
        <w:t xml:space="preserve">The High Court of Islamabad meticulously analyzed the facts, focusing on the substance over form of employment relationships in Pakistan Islamabad. The court rejected the defense's argument regarding the informal nature of the engagement. It was established that in Pakistan Islamabad, especially given its status as a planned capital city with stringent building codes, all construction activities must adhere to labor standards.</w:t>
      </w:r>
    </w:p>
    <w:p>
      <w:pPr>
        <w:pStyle w:val="BodyText"/>
      </w:pPr>
      <w:r>
        <w:t xml:space="preserve">The judgment emphasized that the term "Mason" describes a function performed under an employer-employee relationship, not an independent contractor status in this context. The court noted that ignoring the rights of Masons in Pakistan Islamabad would create a sanctuary for exploitation, undermining national labor laws. It was determined that verbal agreements are legally binding and sufficient to establish employment relations within the jurisdiction of Pakistan Islamabad.</w:t>
      </w:r>
    </w:p>
    <w:p>
      <w:pPr>
        <w:pStyle w:val="BodyText"/>
      </w:pPr>
      <w:r>
        <w:t xml:space="preserve">Furthermore, the court addressed safety violations. By failing to provide basic protective gear on the site in Pakistan Islamabad, the employer breached statutory duties under workplace health and safety regulations. The court reasoned that economic efficiency cannot supersede human dignity and physical safety, particularly for Masons who form the backbone of construction projects in Islamabad.</w:t>
      </w:r>
    </w:p>
    <w:bookmarkEnd w:id="23"/>
    <w:bookmarkStart w:id="24" w:name="v.-conclusion-and-precedent-setting"/>
    <w:p>
      <w:pPr>
        <w:pStyle w:val="Heading2"/>
      </w:pPr>
      <w:r>
        <w:t xml:space="preserve">V. Conclusion and Precedent Setting</w:t>
      </w:r>
    </w:p>
    <w:p>
      <w:pPr>
        <w:pStyle w:val="FirstParagraph"/>
      </w:pPr>
      <w:r>
        <w:t xml:space="preserve">The High Court ruled in favor of the Mason, ordering the defendant to pay all outstanding wages, medical expenses related to his injury sustained while working as a Mason in Pakistan Islamabad, and compensation for wrongful termination. This decision serves as a critical precedent for labor disputes in Pakistan Islamabad.</w:t>
      </w:r>
    </w:p>
    <w:p>
      <w:pPr>
        <w:pStyle w:val="BodyText"/>
      </w:pPr>
      <w:r>
        <w:t xml:space="preserve">This case study underscores the importance of recognizing Masons not merely as casual laborers but as rights-bearing citizens under Pakistani law. It affirms that the judicial apparatus in Pakistan Islamabad is committed to enforcing fair labor practices regardless of contractual informality. For future reference, this ruling clarifies that employers operating within Islamabad cannot utilize the informal sector status to evade liabilities owed to Masons and other construction workers.</w:t>
      </w:r>
    </w:p>
    <w:p>
      <w:pPr>
        <w:pStyle w:val="BodyText"/>
      </w:pPr>
      <w:r>
        <w:t xml:space="preserve">In conclusion, the protection of Masons in Pakistan Islamabad requires continuous vigilance from both judicial bodies and regulatory agencies. The judgment reinforces that even in a modernizing urban center like Pakistan Islamabad, traditional labor vulnerabilities must be addressed through strict adherence to national statutes. This ensures that the growth of Islamabad does not come at the expense of social justice for its workforce.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Mason in Pakistan Islamabad</dc:title>
  <dc:creator/>
  <dc:language>en</dc:language>
  <cp:keywords/>
  <dcterms:created xsi:type="dcterms:W3CDTF">2026-07-29T05:02:26Z</dcterms:created>
  <dcterms:modified xsi:type="dcterms:W3CDTF">2026-07-29T05:02:26Z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