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Russia</w:t>
      </w:r>
      <w:r>
        <w:t xml:space="preserve"> </w:t>
      </w:r>
      <w:r>
        <w:t xml:space="preserve">Moscow</w:t>
      </w:r>
    </w:p>
    <w:bookmarkStart w:id="34" w:name="X1b77966067640383d8e600771714ac48cae6b95"/>
    <w:p>
      <w:pPr>
        <w:pStyle w:val="Heading1"/>
      </w:pPr>
      <w:r>
        <w:t xml:space="preserve">A Strategic Case Study: Integrating Mason in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Mason</w:t>
      </w:r>
      <w:r>
        <w:t xml:space="preserve"> </w:t>
      </w:r>
      <w:r>
        <w:t xml:space="preserve">: Operational Expansion Analysis</w:t>
      </w:r>
      <w:r>
        <w:br/>
      </w:r>
      <w:r>
        <w:rPr>
          <w:bCs/>
          <w:b/>
        </w:rPr>
        <w:t xml:space="preserve">Location Focus:</w:t>
      </w:r>
      <w:r>
        <w:t xml:space="preserve"> </w:t>
      </w:r>
      <w:r>
        <w:t xml:space="preserve">Russia Moscow</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 examines the strategic implications, operational challenges, and market potential of introducing Mason in Russia Moscow.</w:t>
      </w:r>
      <w:r>
        <w:t xml:space="preserve">Russia Moscow, while detailing how</w:t>
      </w:r>
      <w:r>
        <w:t xml:space="preserve"> </w:t>
      </w:r>
      <w:r>
        <w:rPr>
          <w:bCs/>
          <w:b/>
        </w:rPr>
        <w:t xml:space="preserve">Mason</w:t>
      </w:r>
      <w:r>
        <w:t xml:space="preserve"> </w:t>
      </w:r>
      <w:r>
        <w:t xml:space="preserve">can navigate these complexities.</w:t>
      </w:r>
    </w:p>
    <w:p>
      <w:pPr>
        <w:pStyle w:val="BodyText"/>
      </w:pPr>
      <w:r>
        <w:t xml:space="preserve">The integration of Mason into the market requires more than simple logistical deployment; it demands a deep cultural and economic understanding. The capital city,</w:t>
      </w:r>
      <w:r>
        <w:t xml:space="preserve"> </w:t>
      </w:r>
      <w:r>
        <w:rPr>
          <w:bCs/>
          <w:b/>
        </w:rPr>
        <w:t xml:space="preserve">Russia Moscow</w:t>
      </w:r>
      <w:r>
        <w:t xml:space="preserve">, serves as the central nervous system of the nation’s economy, politics, and culture. Therefore, any strategy involving Mason must be hyper-localized yet globally compliant.</w:t>
      </w:r>
    </w:p>
    <w:bookmarkEnd w:id="20"/>
    <w:bookmarkStart w:id="21" w:name="X20e32ff7d6762e9fc8190396b1bf85696ffb7c0"/>
    <w:p>
      <w:pPr>
        <w:pStyle w:val="Heading2"/>
      </w:pPr>
      <w:r>
        <w:t xml:space="preserve">2. Contextual Background: The Landscape of Russia Moscow</w:t>
      </w:r>
    </w:p>
    <w:p>
      <w:pPr>
        <w:pStyle w:val="FirstParagraph"/>
      </w:pPr>
      <w:r>
        <w:t xml:space="preserve">To fully appreciate the significance of this project one must first understand the environment in which Mason will operate.</w:t>
      </w:r>
      <w:r>
        <w:t xml:space="preserve"> </w:t>
      </w:r>
      <w:r>
        <w:rPr>
          <w:bCs/>
          <w:b/>
        </w:rPr>
        <w:t xml:space="preserve">Russia Moscow</w:t>
      </w:r>
    </w:p>
    <w:p>
      <w:pPr>
        <w:pStyle w:val="BodyText"/>
      </w:pPr>
      <w:r>
        <w:t xml:space="preserve">The economic climate in</w:t>
      </w:r>
      <w:r>
        <w:t xml:space="preserve"> </w:t>
      </w:r>
      <w:r>
        <w:rPr>
          <w:bCs/>
          <w:b/>
        </w:rPr>
        <w:t xml:space="preserve">Russia Moscow</w:t>
      </w:r>
    </w:p>
    <w:bookmarkEnd w:id="21"/>
    <w:bookmarkStart w:id="22" w:name="strategic-objectives-for-mason"/>
    <w:p>
      <w:pPr>
        <w:pStyle w:val="Heading2"/>
      </w:pPr>
      <w:r>
        <w:t xml:space="preserve">3 Strategic Objectives for Mason</w:t>
      </w:r>
    </w:p>
    <w:p>
      <w:pPr>
        <w:pStyle w:val="FirstParagraph"/>
      </w:pPr>
      <w:r>
        <w:t xml:space="preserve">The primary objective for</w:t>
      </w:r>
      <w:r>
        <w:t xml:space="preserve"> </w:t>
      </w:r>
      <w:r>
        <w:rPr>
          <w:bCs/>
          <w:b/>
        </w:rPr>
        <w:t xml:space="preserve">Mason</w:t>
      </w:r>
      <w:r>
        <w:t xml:space="preserve"> </w:t>
      </w:r>
      <w:r>
        <w:t xml:space="preserve">in this specific context is sustainable integration. This involves several key goals:</w:t>
      </w:r>
    </w:p>
    <w:p>
      <w:pPr>
        <w:numPr>
          <w:ilvl w:val="0"/>
          <w:numId w:val="1001"/>
        </w:numPr>
        <w:pStyle w:val="Compact"/>
      </w:pPr>
      <w:r>
        <w:t xml:space="preserve">Market Penetration: Gaining initial traction among the diverse demographic groups present in</w:t>
      </w:r>
      <w:r>
        <w:t xml:space="preserve"> </w:t>
      </w:r>
      <w:r>
        <w:t xml:space="preserve">Russia Moscow</w:t>
      </w:r>
      <w:r>
        <w:t xml:space="preserve">.</w:t>
      </w:r>
    </w:p>
    <w:p>
      <w:pPr>
        <w:numPr>
          <w:ilvl w:val="0"/>
          <w:numId w:val="1001"/>
        </w:numPr>
        <w:pStyle w:val="Compact"/>
      </w:pPr>
      <w:r>
        <w:t xml:space="preserve">Cultural Alignment: Adapting Mason’s core values to resonate with local sensibilities without diluting the brand identity.</w:t>
      </w:r>
    </w:p>
    <w:p>
      <w:pPr>
        <w:numPr>
          <w:ilvl w:val="0"/>
          <w:numId w:val="1001"/>
        </w:numPr>
        <w:pStyle w:val="Compact"/>
      </w:pPr>
      <w:r>
        <w:t xml:space="preserve">Regulatory Compliance:Navigating the complex legal framework of</w:t>
      </w:r>
      <w:r>
        <w:t xml:space="preserve"> </w:t>
      </w:r>
      <w:r>
        <w:t xml:space="preserve">Russia Moscow</w:t>
      </w:r>
      <w:r>
        <w:t xml:space="preserve"> </w:t>
      </w:r>
      <w:r>
        <w:t xml:space="preserve">to ensure full operational legality.</w:t>
      </w:r>
    </w:p>
    <w:p>
      <w:pPr>
        <w:numPr>
          <w:ilvl w:val="0"/>
          <w:numId w:val="1001"/>
        </w:numPr>
        <w:pStyle w:val="Compact"/>
      </w:pPr>
      <w:r>
        <w:t xml:space="preserve">Community Engagement: Building trust within local neighborhoods and business ecosystems.</w:t>
      </w:r>
    </w:p>
    <w:bookmarkEnd w:id="22"/>
    <w:bookmarkStart w:id="26" w:name="Xc32ef2a9efe7173c360910eaa5268c9ef9835b9"/>
    <w:p>
      <w:pPr>
        <w:pStyle w:val="Heading2"/>
      </w:pPr>
      <w:r>
        <w:t xml:space="preserve">4. Operational Challenges and Risk Assessment</w:t>
      </w:r>
    </w:p>
    <w:p>
      <w:pPr>
        <w:pStyle w:val="FirstParagraph"/>
      </w:pPr>
      <w:r>
        <w:t xml:space="preserve">A thorough</w:t>
      </w:r>
      <w:r>
        <w:t xml:space="preserve"> </w:t>
      </w:r>
      <w:r>
        <w:rPr>
          <w:bCs/>
          <w:b/>
        </w:rPr>
        <w:t xml:space="preserve">CASE STUDY Russia Moscow</w:t>
      </w:r>
    </w:p>
    <w:bookmarkStart w:id="23" w:name="regulatory-hurdles"/>
    <w:p>
      <w:pPr>
        <w:pStyle w:val="Heading3"/>
      </w:pPr>
      <w:r>
        <w:rPr>
          <w:iCs/>
          <w:i/>
        </w:rPr>
        <w:t xml:space="preserve">4.1 Regulatory Hurdles</w:t>
      </w:r>
    </w:p>
    <w:p>
      <w:pPr>
        <w:pStyle w:val="FirstParagraph"/>
      </w:pPr>
      <w:r>
        <w:t xml:space="preserve">The legal landscape in Russia can be intricate and subject to change. For Mason this means establishing a robust local legal team is non-negotiable. Compliance with local labor laws, tax regulations, and import/export restrictions (if applicable) requires meticulous attention to detail.</w:t>
      </w:r>
    </w:p>
    <w:bookmarkEnd w:id="23"/>
    <w:bookmarkStart w:id="24" w:name="cultural-nuances"/>
    <w:p>
      <w:pPr>
        <w:pStyle w:val="Heading3"/>
      </w:pPr>
      <w:r>
        <w:rPr>
          <w:iCs/>
          <w:i/>
        </w:rPr>
        <w:t xml:space="preserve">4.2 Cultural Nuances</w:t>
      </w:r>
    </w:p>
    <w:p>
      <w:pPr>
        <w:pStyle w:val="FirstParagraph"/>
      </w:pPr>
      <w:r>
        <w:rPr>
          <w:bCs/>
          <w:b/>
        </w:rPr>
        <w:t xml:space="preserve">Mason</w:t>
      </w:r>
      <w:r>
        <w:t xml:space="preserve"> </w:t>
      </w:r>
      <w:r>
        <w:t xml:space="preserve">must avoid cultural missteps that could alienate potential customers in</w:t>
      </w:r>
      <w:r>
        <w:t xml:space="preserve"> </w:t>
      </w:r>
      <w:r>
        <w:t xml:space="preserve">Russia Moscow</w:t>
      </w:r>
      <w:r>
        <w:t xml:space="preserve">. Business etiquette here values personal relationships and trust over purely transactional interactions. Understanding the concept of</w:t>
      </w:r>
      <w:r>
        <w:t xml:space="preserve"> </w:t>
      </w:r>
      <w:r>
        <w:rPr>
          <w:iCs/>
          <w:i/>
        </w:rPr>
        <w:t xml:space="preserve">"blat"</w:t>
      </w:r>
      <w:r>
        <w:t xml:space="preserve"> </w:t>
      </w:r>
      <w:r>
        <w:t xml:space="preserve">(informal networks) and how it influences business dealings is essential.</w:t>
      </w:r>
    </w:p>
    <w:bookmarkEnd w:id="24"/>
    <w:bookmarkStart w:id="25" w:name="economic-volatility"/>
    <w:p>
      <w:pPr>
        <w:pStyle w:val="Heading3"/>
      </w:pPr>
      <w:r>
        <w:rPr>
          <w:iCs/>
          <w:i/>
        </w:rPr>
        <w:t xml:space="preserve">4.3 Economic Volatility</w:t>
      </w:r>
    </w:p>
    <w:p>
      <w:pPr>
        <w:pStyle w:val="FirstParagraph"/>
      </w:pPr>
      <w:r>
        <w:t xml:space="preserve">The currency fluctuations and inflation rates in</w:t>
      </w:r>
      <w:r>
        <w:t xml:space="preserve"> </w:t>
      </w:r>
      <w:r>
        <w:t xml:space="preserve">Russia Moscow</w:t>
      </w:r>
      <w:r>
        <w:t xml:space="preserve"> </w:t>
      </w:r>
      <w:r>
        <w:t xml:space="preserve">can impact pricing strategies. Mason must develop a flexible financial model that allows for quick adjustments to maintain profitability despite external economic pressures.</w:t>
      </w:r>
    </w:p>
    <w:bookmarkEnd w:id="25"/>
    <w:bookmarkEnd w:id="26"/>
    <w:bookmarkStart w:id="31" w:name="strategic-implementation-plan-for-mason"/>
    <w:p>
      <w:pPr>
        <w:pStyle w:val="Heading2"/>
      </w:pPr>
      <w:r>
        <w:t xml:space="preserve">5. Strategic Implementation Plan for Mason</w:t>
      </w:r>
    </w:p>
    <w:p>
      <w:pPr>
        <w:pStyle w:val="FirstParagraph"/>
      </w:pPr>
      <w:r>
        <w:t xml:space="preserve">To successfully launch in this environment, the following phased approach is recommended:</w:t>
      </w:r>
    </w:p>
    <w:bookmarkStart w:id="27" w:name="X804bd2eea8ce8a8cbe471f1aed60c9918b3a692"/>
    <w:p>
      <w:pPr>
        <w:pStyle w:val="Heading3"/>
      </w:pPr>
      <w:r>
        <w:rPr>
          <w:iCs/>
          <w:i/>
        </w:rPr>
        <w:t xml:space="preserve">Phase 1: Research and Localization (Months 1-3)</w:t>
      </w:r>
    </w:p>
    <w:p>
      <w:pPr>
        <w:pStyle w:val="FirstParagraph"/>
      </w:pPr>
      <w:r>
        <w:t xml:space="preserve">In this phase</w:t>
      </w:r>
      <w:r>
        <w:t xml:space="preserve"> </w:t>
      </w:r>
      <w:r>
        <w:rPr>
          <w:bCs/>
          <w:b/>
        </w:rPr>
        <w:t xml:space="preserve">Mason</w:t>
      </w:r>
      <w:r>
        <w:t xml:space="preserve"> </w:t>
      </w:r>
      <w:r>
        <w:t xml:space="preserve">will conduct deep-dive market research within</w:t>
      </w:r>
      <w:r>
        <w:t xml:space="preserve"> </w:t>
      </w:r>
      <w:r>
        <w:t xml:space="preserve">Russia Moscow</w:t>
      </w:r>
      <w:r>
        <w:t xml:space="preserve">. This includes analyzing competitor offerings, identifying key customer pain points, and adapting marketing materials to local languages and cultural contexts. The brand messaging of Mason must be refined to speak directly to the aspirations and concerns of the Moscow resident.</w:t>
      </w:r>
    </w:p>
    <w:bookmarkEnd w:id="27"/>
    <w:bookmarkStart w:id="28" w:name="phase-2-partnership-building-months-4-6"/>
    <w:p>
      <w:pPr>
        <w:pStyle w:val="Heading3"/>
      </w:pPr>
      <w:r>
        <w:rPr>
          <w:iCs/>
          <w:i/>
        </w:rPr>
        <w:t xml:space="preserve">Phase 2: Partnership Building (Months 4-6)</w:t>
      </w:r>
    </w:p>
    <w:p>
      <w:pPr>
        <w:pStyle w:val="FirstParagraph"/>
      </w:pPr>
      <w:r>
        <w:t xml:space="preserve">Establishing partnerships with local distributors, retailers, or technology providers in</w:t>
      </w:r>
      <w:r>
        <w:t xml:space="preserve"> </w:t>
      </w:r>
      <w:r>
        <w:rPr>
          <w:bCs/>
          <w:b/>
        </w:rPr>
        <w:t xml:space="preserve">Russia Moscow</w:t>
      </w:r>
      <w:r>
        <w:t xml:space="preserve"> </w:t>
      </w:r>
      <w:r>
        <w:t xml:space="preserve">is critical. These partners provide immediate access to established networks and logistical infrastructure. Mason should seek out partners who share a commitment to quality and innovation.</w:t>
      </w:r>
    </w:p>
    <w:bookmarkEnd w:id="28"/>
    <w:bookmarkStart w:id="29" w:name="phase-3-soft-launch-months-7-9"/>
    <w:p>
      <w:pPr>
        <w:pStyle w:val="Heading3"/>
      </w:pPr>
      <w:r>
        <w:rPr>
          <w:iCs/>
          <w:i/>
        </w:rPr>
        <w:t xml:space="preserve">Phase 3: Soft Launch (Months 7-9)</w:t>
      </w:r>
    </w:p>
    <w:p>
      <w:pPr>
        <w:pStyle w:val="FirstParagraph"/>
      </w:pPr>
      <w:r>
        <w:t xml:space="preserve">A controlled launch in select districts of</w:t>
      </w:r>
      <w:r>
        <w:t xml:space="preserve"> </w:t>
      </w:r>
      <w:r>
        <w:t xml:space="preserve">Russia Moscow</w:t>
      </w:r>
      <w:r>
        <w:t xml:space="preserve"> </w:t>
      </w:r>
      <w:r>
        <w:t xml:space="preserve">allows for real-time feedback and adjustment. This pilot program will test operational workflows, customer service responsiveness, and marketing effectiveness. Data collected during this phase will inform the broader rollout.</w:t>
      </w:r>
    </w:p>
    <w:bookmarkEnd w:id="29"/>
    <w:bookmarkStart w:id="30" w:name="Xaf4f0461e3f21859c24dd61873eefe7149e9b32"/>
    <w:p>
      <w:pPr>
        <w:pStyle w:val="Heading3"/>
      </w:pPr>
      <w:r>
        <w:rPr>
          <w:iCs/>
          <w:i/>
        </w:rPr>
        <w:t xml:space="preserve">Phase 4: Full Scale Expansion (Months 10-12)</w:t>
      </w:r>
    </w:p>
    <w:p>
      <w:pPr>
        <w:pStyle w:val="FirstParagraph"/>
      </w:pPr>
      <w:r>
        <w:t xml:space="preserve">With insights gained from the soft launch Mason can expand its presence across</w:t>
      </w:r>
      <w:r>
        <w:t xml:space="preserve"> </w:t>
      </w:r>
      <w:r>
        <w:rPr>
          <w:bCs/>
          <w:b/>
        </w:rPr>
        <w:t xml:space="preserve">Russia Moscow</w:t>
      </w:r>
      <w:r>
        <w:t xml:space="preserve">. Marketing campaigns will be scaled up, and new service offerings introduced based on customer demand. The focus shifts to brand loyalty and retention.</w:t>
      </w:r>
    </w:p>
    <w:bookmarkEnd w:id="30"/>
    <w:bookmarkEnd w:id="31"/>
    <w:bookmarkStart w:id="32" w:name="X95feb731dea3b9de852c2b3fa7328704fe77728"/>
    <w:p>
      <w:pPr>
        <w:pStyle w:val="Heading2"/>
      </w:pPr>
      <w:r>
        <w:rPr>
          <w:bCs/>
          <w:b/>
        </w:rPr>
        <w:t xml:space="preserve">6. Case Study Analysis: Success Metrics for Mason in Russia Moscow</w:t>
      </w:r>
    </w:p>
    <w:p>
      <w:pPr>
        <w:pStyle w:val="FirstParagraph"/>
      </w:pPr>
      <w:r>
        <w:t xml:space="preserve">Measuring the success of</w:t>
      </w:r>
      <w:r>
        <w:t xml:space="preserve"> </w:t>
      </w:r>
      <w:r>
        <w:rPr>
          <w:bCs/>
          <w:b/>
        </w:rPr>
        <w:t xml:space="preserve">Mason</w:t>
      </w:r>
    </w:p>
    <w:p>
      <w:pPr>
        <w:numPr>
          <w:ilvl w:val="0"/>
          <w:numId w:val="1002"/>
        </w:numPr>
        <w:pStyle w:val="Compact"/>
      </w:pPr>
      <w:r>
        <w:t xml:space="preserve">&lt; strong&gt;Customer Acquisition Cost (CAC): Evaluating the efficiency of marketing spend in</w:t>
      </w:r>
      <w:r>
        <w:t xml:space="preserve"> </w:t>
      </w:r>
      <w:r>
        <w:t xml:space="preserve">Russia Moscow</w:t>
      </w:r>
      <w:r>
        <w:t xml:space="preserve">.</w:t>
      </w:r>
    </w:p>
    <w:p>
      <w:pPr>
        <w:numPr>
          <w:ilvl w:val="0"/>
          <w:numId w:val="1002"/>
        </w:numPr>
        <w:pStyle w:val="Compact"/>
      </w:pPr>
      <w:r>
        <w:t xml:space="preserve">&lt; strong&gt;Customer Lifetime Value (CLV) : Assessing the long-term value of customers acquired through Mason’s services.</w:t>
      </w:r>
    </w:p>
    <w:p>
      <w:pPr>
        <w:numPr>
          <w:ilvl w:val="0"/>
          <w:numId w:val="1002"/>
        </w:numPr>
        <w:pStyle w:val="Compact"/>
      </w:pPr>
      <w:r>
        <w:t xml:space="preserve">&lt; strong&gt;Market Share Growth: The percentage increase in market presence relative to competitors in</w:t>
      </w:r>
      <w:r>
        <w:t xml:space="preserve"> </w:t>
      </w:r>
      <w:r>
        <w:rPr>
          <w:bCs/>
          <w:b/>
        </w:rPr>
        <w:t xml:space="preserve">Russia Moscow</w:t>
      </w:r>
      <w:r>
        <w:t xml:space="preserve">.</w:t>
      </w:r>
    </w:p>
    <w:p>
      <w:pPr>
        <w:numPr>
          <w:ilvl w:val="0"/>
          <w:numId w:val="1002"/>
        </w:numPr>
        <w:pStyle w:val="Compact"/>
      </w:pPr>
      <w:r>
        <w:t xml:space="preserve">&lt; strong&gt;Sentiment Analysis:Gauging public perception of Mason through social media and local review platforms.</w:t>
      </w:r>
    </w:p>
    <w:bookmarkEnd w:id="32"/>
    <w:bookmarkStart w:id="33"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 Mason</w:t>
      </w:r>
      <w:r>
        <w:t xml:space="preserve"> </w:t>
      </w:r>
      <w:r>
        <w:t xml:space="preserve">into</w:t>
      </w:r>
      <w:r>
        <w:t xml:space="preserve"> </w:t>
      </w:r>
      <w:r>
        <w:t xml:space="preserve">Russia Moscow</w:t>
      </w:r>
      <w:r>
        <w:t xml:space="preserve">. While the challenges are significant they are not insurmountable. Success will depend on a strategy that prioritizes local adaptation, rigorous compliance, and genuine community engagement.</w:t>
      </w:r>
    </w:p>
    <w:p>
      <w:pPr>
        <w:pStyle w:val="BodyText"/>
      </w:pPr>
      <w:r>
        <w:t xml:space="preserve">Mason Russia Moscow not as a mere expansion but as an investment in a dynamic and influential market. By respecting the unique characteristics of</w:t>
      </w:r>
      <w:r>
        <w:t xml:space="preserve"> </w:t>
      </w:r>
      <w:r>
        <w:t xml:space="preserve">Russia Moscow</w:t>
      </w:r>
      <w:r>
        <w:t xml:space="preserve"> </w:t>
      </w:r>
      <w:r>
        <w:t xml:space="preserve">and tailoring its approach accordingly, Mason can build a sustainable and profitable presence. The key lies in balancing global standards with local realities.</w:t>
      </w:r>
    </w:p>
    <w:p>
      <w:pPr>
        <w:pStyle w:val="BodyText"/>
      </w:pPr>
      <w:r>
        <w:t xml:space="preserve">In conclusion, the integration of Mason into the bustling environment of</w:t>
      </w:r>
      <w:r>
        <w:t xml:space="preserve"> </w:t>
      </w:r>
      <w:r>
        <w:rPr>
          <w:bCs/>
          <w:b/>
        </w:rPr>
        <w:t xml:space="preserve">Russia Moscow</w:t>
      </w:r>
      <w:r>
        <w:t xml:space="preserve"> </w:t>
      </w:r>
      <w:r>
        <w:t xml:space="preserve">is a strategic move that requires careful planning, cultural sensitivity, and operational flexibility. If executed correctly this initiative has the potential to set a new standard for industry performance in one of Russia’s most critical economic zones.</w:t>
      </w:r>
    </w:p>
    <w:p>
      <w:r>
        <w:pict>
          <v:rect style="width:0;height:1.5pt" o:hralign="center" o:hrstd="t" o:hr="t"/>
        </w:pict>
      </w:r>
    </w:p>
    <w:p>
      <w:pPr>
        <w:pStyle w:val="FirstParagraph"/>
      </w:pPr>
      <w:r>
        <w:rPr>
          <w:iCs/>
          <w:i/>
        </w:rPr>
        <w:t xml:space="preserve">Note: This document serves as a theoretical framework based on general market analysis principles applied to the specific context requested. Specific financial figures and proprietary data should be supplemented with primary research conducted by Mason's internal teams.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Russia Moscow</dc:title>
  <dc:creator/>
  <dc:language>en</dc:language>
  <cp:keywords/>
  <dcterms:created xsi:type="dcterms:W3CDTF">2026-07-29T04:27:57Z</dcterms:created>
  <dcterms:modified xsi:type="dcterms:W3CDTF">2026-07-29T04:27:57Z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