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Digital</w:t>
      </w:r>
      <w:r>
        <w:t xml:space="preserve"> </w:t>
      </w:r>
      <w:r>
        <w:t xml:space="preserve">Transformation</w:t>
      </w:r>
      <w:r>
        <w:t xml:space="preserve"> </w:t>
      </w:r>
      <w:r>
        <w:t xml:space="preserve">Journey</w:t>
      </w:r>
      <w:r>
        <w:t xml:space="preserve"> </w:t>
      </w:r>
      <w:r>
        <w:t xml:space="preserve">in</w:t>
      </w:r>
      <w:r>
        <w:t xml:space="preserve"> </w:t>
      </w:r>
      <w:r>
        <w:t xml:space="preserve">Singapore</w:t>
      </w:r>
    </w:p>
    <w:bookmarkStart w:id="34" w:name="X3e22720d932f5f0ebdd0825cad81fd8265bd9ca"/>
    <w:p>
      <w:pPr>
        <w:pStyle w:val="Heading1"/>
      </w:pPr>
      <w:r>
        <w:t xml:space="preserve">Case Study: Mason's Strategic Expansion and Operational Excellence in Singapore</w:t>
      </w:r>
    </w:p>
    <w:bookmarkStart w:id="20" w:name="executive-summary"/>
    <w:p>
      <w:pPr>
        <w:pStyle w:val="Heading2"/>
      </w:pPr>
      <w:r>
        <w:t xml:space="preserve">Executive Summary</w:t>
      </w:r>
    </w:p>
    <w:p>
      <w:pPr>
        <w:pStyle w:val="FirstParagraph"/>
      </w:pPr>
      <w:r>
        <w:t xml:space="preserve">This document outlines the comprehensive case study of Mason, a mid-sized sustainable technology firm, navigating the complex yet rewarding business landscape of Singapore. As a global hub for trade and finance, Singapore offers unique opportunities for innovation-driven companies. This case study explores how Mason leveraged its core competencies in green tech to establish a robust presence in this competitive market, addressing regulatory challenges, cultural integration, and strategic partnerships.</w:t>
      </w:r>
    </w:p>
    <w:bookmarkEnd w:id="20"/>
    <w:bookmarkStart w:id="21" w:name="background-the-entity-mason"/>
    <w:p>
      <w:pPr>
        <w:pStyle w:val="Heading2"/>
      </w:pPr>
      <w:r>
        <w:t xml:space="preserve">Background: The Entity "Mason"</w:t>
      </w:r>
    </w:p>
    <w:p>
      <w:pPr>
        <w:pStyle w:val="FirstParagraph"/>
      </w:pPr>
      <w:r>
        <w:rPr>
          <w:bCs/>
          <w:b/>
        </w:rPr>
        <w:t xml:space="preserve">Mason</w:t>
      </w:r>
      <w:r>
        <w:t xml:space="preserve"> </w:t>
      </w:r>
      <w:r>
        <w:t xml:space="preserve">was founded with a singular mission: to develop affordable smart-grid solutions for urban residential complexes. Headquartered originally in North America, Mason had achieved significant success in its home market but sought international expansion to diversify revenue streams and tap into high-density urban markets. The company’s technology focuses on energy monitoring, predictive maintenance, and automated load balancing using IoT sensors and AI-driven analytics.</w:t>
      </w:r>
    </w:p>
    <w:p>
      <w:pPr>
        <w:pStyle w:val="BodyText"/>
      </w:pPr>
      <w:r>
        <w:t xml:space="preserve">Despite its technological prowess, Mason faced internal challenges regarding scalability and international compliance. The decision to enter the Asian market was driven by the need for higher adoption rates of smart home technologies in dense metropolitan areas. After a rigorous analysis of potential markets including Japan, South Korea, and Australia,</w:t>
      </w:r>
      <w:r>
        <w:t xml:space="preserve"> </w:t>
      </w:r>
      <w:r>
        <w:rPr>
          <w:bCs/>
          <w:b/>
        </w:rPr>
        <w:t xml:space="preserve">Mason</w:t>
      </w:r>
      <w:r>
        <w:t xml:space="preserve"> </w:t>
      </w:r>
      <w:r>
        <w:t xml:space="preserve">identified Singapore as the ideal launchpad due to its pro-business environment and advanced digital infrastructure.</w:t>
      </w:r>
    </w:p>
    <w:bookmarkEnd w:id="21"/>
    <w:bookmarkStart w:id="22" w:name="the-market-context-why-singapore"/>
    <w:p>
      <w:pPr>
        <w:pStyle w:val="Heading2"/>
      </w:pPr>
      <w:r>
        <w:t xml:space="preserve">The Market Context: Why Singapore?</w:t>
      </w:r>
    </w:p>
    <w:p>
      <w:pPr>
        <w:pStyle w:val="FirstParagraph"/>
      </w:pPr>
      <w:r>
        <w:t xml:space="preserve">Singapore is not merely a city-state; it is a global nexus of innovation, stability, and connectivity. For a company like Mason, the factors influencing the decision to operate in Singapore were multifaceted:</w:t>
      </w:r>
    </w:p>
    <w:p>
      <w:pPr>
        <w:numPr>
          <w:ilvl w:val="0"/>
          <w:numId w:val="1001"/>
        </w:numPr>
        <w:pStyle w:val="Compact"/>
      </w:pPr>
      <w:r>
        <w:rPr>
          <w:bCs/>
          <w:b/>
        </w:rPr>
        <w:t xml:space="preserve">Government Support:</w:t>
      </w:r>
      <w:r>
        <w:t xml:space="preserve"> </w:t>
      </w:r>
      <w:r>
        <w:t xml:space="preserve">The Singaporean government actively promotes smart nation initiatives through grants such as those provided by Enterprise Singapore and the Smart Nation Office.</w:t>
      </w:r>
    </w:p>
    <w:p>
      <w:pPr>
        <w:numPr>
          <w:ilvl w:val="0"/>
          <w:numId w:val="1001"/>
        </w:numPr>
        <w:pStyle w:val="Compact"/>
      </w:pPr>
      <w:r>
        <w:rPr>
          <w:bCs/>
          <w:b/>
        </w:rPr>
        <w:t xml:space="preserve">Digital Infrastructure:</w:t>
      </w:r>
      <w:r>
        <w:t xml:space="preserve"> </w:t>
      </w:r>
      <w:r>
        <w:t xml:space="preserve">With one of the fastest internet speeds globally and widespread 5G coverage, Singapore provides an ideal testing ground for IoT-dependent solutions.</w:t>
      </w:r>
    </w:p>
    <w:p>
      <w:pPr>
        <w:numPr>
          <w:ilvl w:val="0"/>
          <w:numId w:val="1001"/>
        </w:numPr>
        <w:pStyle w:val="Compact"/>
      </w:pPr>
      <w:r>
        <w:rPr>
          <w:bCs/>
          <w:b/>
        </w:rPr>
        <w:t xml:space="preserve">Cultural Proximity to Diversity:</w:t>
      </w:r>
      <w:r>
        <w:t xml:space="preserve"> </w:t>
      </w:r>
      <w:r>
        <w:t xml:space="preserve">As a multicultural hub, Singapore allows Mason to refine its strategies before expanding into broader Southeast Asian markets with similar demographic complexities.</w:t>
      </w:r>
    </w:p>
    <w:p>
      <w:pPr>
        <w:pStyle w:val="FirstParagraph"/>
      </w:pPr>
      <w:r>
        <w:t xml:space="preserve">The competitive landscape in Singapore is fierce, with established local players and international giants vying for dominance in the proptech sector. However, the emphasis on sustainability aligns perfectly with Mason’s brand identity.</w:t>
      </w:r>
    </w:p>
    <w:bookmarkEnd w:id="22"/>
    <w:bookmarkStart w:id="26" w:name="challenges-faced-by-mason"/>
    <w:p>
      <w:pPr>
        <w:pStyle w:val="Heading2"/>
      </w:pPr>
      <w:r>
        <w:t xml:space="preserve">Challenges Faced by Mason</w:t>
      </w:r>
    </w:p>
    <w:bookmarkStart w:id="23" w:name="regulatory-compliance-and-data-privacy"/>
    <w:p>
      <w:pPr>
        <w:pStyle w:val="Heading3"/>
      </w:pPr>
      <w:r>
        <w:t xml:space="preserve">1. Regulatory Compliance and Data Privacy</w:t>
      </w:r>
    </w:p>
    <w:p>
      <w:pPr>
        <w:pStyle w:val="FirstParagraph"/>
      </w:pPr>
      <w:r>
        <w:t xml:space="preserve">The first major hurdle for Mason was navigating Singapore’s strict data protection laws, specifically the Personal Data Protection Act (PDPA). Since Mason’s technology collects granular user energy usage data, ensuring compliance with PDPA standards was critical. The company had to overhaul its data governance framework to meet local legal requirements without compromising the efficiency of its AI algorithms.</w:t>
      </w:r>
    </w:p>
    <w:bookmarkEnd w:id="23"/>
    <w:bookmarkStart w:id="24" w:name="Xf5981a167c90cd0c54df04bbbdbc31acc74a26b"/>
    <w:p>
      <w:pPr>
        <w:pStyle w:val="Heading3"/>
      </w:pPr>
      <w:r>
        <w:t xml:space="preserve">2. Cultural Integration and Talent Acquisition</w:t>
      </w:r>
    </w:p>
    <w:p>
      <w:pPr>
        <w:pStyle w:val="FirstParagraph"/>
      </w:pPr>
      <w:r>
        <w:t xml:space="preserve">Hiring in Singapore requires understanding local labor laws, such as the Fair Consideration Framework, which mandates fair hiring practices for foreign workers. Mason struggled initially to find local talent with expertise in both energy tech and IoT integration. Furthermore, adapting the company culture to fit the fast-paced, high-performance environment typical of Singaporean corporate sectors required significant effort from senior management.</w:t>
      </w:r>
    </w:p>
    <w:bookmarkEnd w:id="24"/>
    <w:bookmarkStart w:id="25" w:name="market-penetration-strategy"/>
    <w:p>
      <w:pPr>
        <w:pStyle w:val="Heading3"/>
      </w:pPr>
      <w:r>
        <w:t xml:space="preserve">3. Market Penetration Strategy</w:t>
      </w:r>
    </w:p>
    <w:p>
      <w:pPr>
        <w:pStyle w:val="FirstParagraph"/>
      </w:pPr>
      <w:r>
        <w:t xml:space="preserve">Singaporeans are technologically savvy but also value privacy and cost-efficiency. Mason found that consumers were hesitant to install additional hardware due to maintenance concerns and upfront costs. The traditional B2C (Business-to-Consumer) approach proved less effective than anticipated.</w:t>
      </w:r>
    </w:p>
    <w:bookmarkEnd w:id="25"/>
    <w:bookmarkEnd w:id="26"/>
    <w:bookmarkStart w:id="30" w:name="strategic-implementation"/>
    <w:p>
      <w:pPr>
        <w:pStyle w:val="Heading2"/>
      </w:pPr>
      <w:r>
        <w:t xml:space="preserve">Strategic Implementation</w:t>
      </w:r>
    </w:p>
    <w:bookmarkStart w:id="27" w:name="pivot-to-b2b-partnerships"/>
    <w:p>
      <w:pPr>
        <w:pStyle w:val="Heading3"/>
      </w:pPr>
      <w:r>
        <w:t xml:space="preserve">Pivot to B2B Partnerships</w:t>
      </w:r>
    </w:p>
    <w:p>
      <w:pPr>
        <w:pStyle w:val="FirstParagraph"/>
      </w:pPr>
      <w:r>
        <w:t xml:space="preserve">To overcome consumer hesitation, Mason shifted its strategy in Singapore from direct-to-consumer sales to Business-to-Business (B2B) partnerships. They collaborated with major property management firms and real estate developers in Singapore. By integrating Mason’s smart-grid solutions into new housing developments managed by these partners, the company bypassed individual consumer resistance and achieved rapid deployment.</w:t>
      </w:r>
    </w:p>
    <w:bookmarkEnd w:id="27"/>
    <w:bookmarkStart w:id="28" w:name="leveraging-government-grants"/>
    <w:p>
      <w:pPr>
        <w:pStyle w:val="Heading3"/>
      </w:pPr>
      <w:r>
        <w:t xml:space="preserve">Leveraging Government Grants</w:t>
      </w:r>
    </w:p>
    <w:p>
      <w:pPr>
        <w:pStyle w:val="FirstParagraph"/>
      </w:pPr>
      <w:r>
        <w:t xml:space="preserve">Mason actively engaged with Enterprise Singapore to secure grants for research and development. This not only alleviated financial pressure but also enhanced the company’s credibility within the local ecosystem. Being recognized as a grant recipient signaled to potential partners that Mason was a vetted and reliable entity in Singapore.</w:t>
      </w:r>
    </w:p>
    <w:bookmarkEnd w:id="28"/>
    <w:bookmarkStart w:id="29" w:name="localized-customer-support"/>
    <w:p>
      <w:pPr>
        <w:pStyle w:val="Heading3"/>
      </w:pPr>
      <w:r>
        <w:t xml:space="preserve">Localized Customer Support</w:t>
      </w:r>
    </w:p>
    <w:p>
      <w:pPr>
        <w:pStyle w:val="FirstParagraph"/>
      </w:pPr>
      <w:r>
        <w:t xml:space="preserve">Mason established a dedicated support team in Singapore, employing local staff who understood the nuances of customer service expectations in the region. This localized approach ensured that queries were resolved quickly and culturally appropriately, significantly improving customer satisfaction scores.</w:t>
      </w:r>
    </w:p>
    <w:bookmarkEnd w:id="29"/>
    <w:bookmarkEnd w:id="30"/>
    <w:bookmarkStart w:id="31" w:name="outcomes-and-results"/>
    <w:p>
      <w:pPr>
        <w:pStyle w:val="Heading2"/>
      </w:pPr>
      <w:r>
        <w:t xml:space="preserve">Outcomes and Results</w:t>
      </w:r>
    </w:p>
    <w:p>
      <w:pPr>
        <w:pStyle w:val="FirstParagraph"/>
      </w:pPr>
      <w:r>
        <w:t xml:space="preserve">The strategic adjustments made by Mason yielded impressive results within the first eighteen months of operation in Singapore:</w:t>
      </w:r>
    </w:p>
    <w:p>
      <w:pPr>
        <w:numPr>
          <w:ilvl w:val="0"/>
          <w:numId w:val="1002"/>
        </w:numPr>
        <w:pStyle w:val="Compact"/>
      </w:pPr>
      <w:r>
        <w:rPr>
          <w:bCs/>
          <w:b/>
        </w:rPr>
        <w:t xml:space="preserve">Market Share Growth:</w:t>
      </w:r>
      <w:r>
        <w:t xml:space="preserve"> </w:t>
      </w:r>
      <w:r>
        <w:t xml:space="preserve">Mason secured contracts with over 15 major residential complexes, covering more than 5,000 households. This represented a 20% market share in the premium smart-home segment within the first year.</w:t>
      </w:r>
    </w:p>
    <w:p>
      <w:pPr>
        <w:numPr>
          <w:ilvl w:val="0"/>
          <w:numId w:val="1002"/>
        </w:numPr>
        <w:pStyle w:val="Compact"/>
      </w:pPr>
      <w:r>
        <w:rPr>
          <w:bCs/>
          <w:b/>
        </w:rPr>
        <w:t xml:space="preserve">Operational Efficiency:</w:t>
      </w:r>
      <w:r>
        <w:t xml:space="preserve"> </w:t>
      </w:r>
      <w:r>
        <w:t xml:space="preserve">The implementation of the AI-driven energy management system helped partner buildings reduce overall energy consumption by an average of 18%, validating Mason’s value proposition to stakeholders.</w:t>
      </w:r>
    </w:p>
    <w:p>
      <w:pPr>
        <w:numPr>
          <w:ilvl w:val="0"/>
          <w:numId w:val="1002"/>
        </w:numPr>
        <w:pStyle w:val="Compact"/>
      </w:pPr>
      <w:r>
        <w:rPr>
          <w:bCs/>
          <w:b/>
        </w:rPr>
        <w:t xml:space="preserve">Cultural Integration:</w:t>
      </w:r>
      <w:r>
        <w:t xml:space="preserve"> </w:t>
      </w:r>
      <w:r>
        <w:t xml:space="preserve">The local team grew to 25 employees, with a diverse mix of nationalities reflecting Singapore’s multicultural society. Employee retention rates improved significantly as the company adapted its HR policies to align with local best practices.</w:t>
      </w:r>
    </w:p>
    <w:p>
      <w:pPr>
        <w:numPr>
          <w:ilvl w:val="0"/>
          <w:numId w:val="1002"/>
        </w:numPr>
        <w:pStyle w:val="Compact"/>
      </w:pPr>
      <w:r>
        <w:rPr>
          <w:bCs/>
          <w:b/>
        </w:rPr>
        <w:t xml:space="preserve">Regulatory Compliance:</w:t>
      </w:r>
      <w:r>
        <w:t xml:space="preserve"> </w:t>
      </w:r>
      <w:r>
        <w:t xml:space="preserve">Mason achieved full PDPA compliance and received certification from the Infocomm Media Development Authority (IMDA), enhancing trust among potential clients.</w:t>
      </w:r>
    </w:p>
    <w:p>
      <w:pPr>
        <w:pStyle w:val="FirstParagraph"/>
      </w:pPr>
      <w:r>
        <w:rPr>
          <w:bCs/>
          <w:b/>
        </w:rPr>
        <w:t xml:space="preserve">Key Takeaway:</w:t>
      </w:r>
    </w:p>
    <w:p>
      <w:pPr>
        <w:pStyle w:val="BodyText"/>
      </w:pPr>
      <w:r>
        <w:t xml:space="preserve">The success of Mason in Singapore was not just about technology; it was about adapting the business model to fit the specific regulatory, cultural, and economic context of the region. The pivot from B2C to B2B partnerships was the turning point that allowed Mason to scale effectively.</w:t>
      </w:r>
    </w:p>
    <w:bookmarkEnd w:id="31"/>
    <w:bookmarkStart w:id="32" w:name="lessons-learned-for-future-expansion"/>
    <w:p>
      <w:pPr>
        <w:pStyle w:val="Heading2"/>
      </w:pPr>
      <w:r>
        <w:t xml:space="preserve">Lessons Learned for Future Expansion</w:t>
      </w:r>
    </w:p>
    <w:p>
      <w:pPr>
        <w:pStyle w:val="FirstParagraph"/>
      </w:pPr>
      <w:r>
        <w:t xml:space="preserve">The case study of Mason provides several critical lessons for other enterprises looking to expand into Singapore:</w:t>
      </w:r>
    </w:p>
    <w:p>
      <w:pPr>
        <w:numPr>
          <w:ilvl w:val="0"/>
          <w:numId w:val="1003"/>
        </w:numPr>
        <w:pStyle w:val="Compact"/>
      </w:pPr>
      <w:r>
        <w:rPr>
          <w:bCs/>
          <w:b/>
        </w:rPr>
        <w:t xml:space="preserve">Navigate Regulations Early:</w:t>
      </w:r>
      <w:r>
        <w:t xml:space="preserve"> </w:t>
      </w:r>
      <w:r>
        <w:t xml:space="preserve">Do not treat compliance as an afterthought. Engage with local legal experts from day one to ensure all data and operational practices align with Singaporean laws.</w:t>
      </w:r>
    </w:p>
    <w:p>
      <w:pPr>
        <w:numPr>
          <w:ilvl w:val="0"/>
          <w:numId w:val="1003"/>
        </w:numPr>
        <w:pStyle w:val="Compact"/>
      </w:pPr>
      <w:r>
        <w:rPr>
          <w:bCs/>
          <w:b/>
        </w:rPr>
        <w:t xml:space="preserve">Leverage Local Ecosystems:</w:t>
      </w:r>
      <w:r>
        <w:t xml:space="preserve"> </w:t>
      </w:r>
      <w:r>
        <w:t xml:space="preserve">Partnering with established local players provides immediate credibility and access to networks that foreign entities may lack.</w:t>
      </w:r>
    </w:p>
    <w:p>
      <w:pPr>
        <w:numPr>
          <w:ilvl w:val="0"/>
          <w:numId w:val="1003"/>
        </w:numPr>
        <w:pStyle w:val="Compact"/>
      </w:pPr>
      <w:r>
        <w:rPr>
          <w:bCs/>
          <w:b/>
        </w:rPr>
        <w:t xml:space="preserve">Cultural Sensitivity is Key:</w:t>
      </w:r>
      <w:r>
        <w:t xml:space="preserve"> </w:t>
      </w:r>
      <w:r>
        <w:t xml:space="preserve">Understanding the local work culture and consumer behavior is essential. What works in North America or Europe may not resonate with Singaporean consumers without adaptation.</w:t>
      </w:r>
    </w:p>
    <w:p>
      <w:pPr>
        <w:numPr>
          <w:ilvl w:val="0"/>
          <w:numId w:val="1003"/>
        </w:numPr>
        <w:pStyle w:val="Compact"/>
      </w:pPr>
      <w:r>
        <w:rPr>
          <w:bCs/>
          <w:b/>
        </w:rPr>
        <w:t xml:space="preserve">Sustainability as a USP:</w:t>
      </w:r>
      <w:r>
        <w:t xml:space="preserve"> </w:t>
      </w:r>
      <w:r>
        <w:t xml:space="preserve">In a market like Singapore, where sustainability is a national priority, framing your product as a green solution can open doors to government support and environmentally conscious corporate clients.</w:t>
      </w:r>
    </w:p>
    <w:bookmarkEnd w:id="32"/>
    <w:bookmarkStart w:id="33" w:name="conclusion"/>
    <w:p>
      <w:pPr>
        <w:pStyle w:val="Heading2"/>
      </w:pPr>
      <w:r>
        <w:t xml:space="preserve">Conclusion</w:t>
      </w:r>
    </w:p>
    <w:p>
      <w:pPr>
        <w:pStyle w:val="FirstParagraph"/>
      </w:pPr>
      <w:r>
        <w:t xml:space="preserve">Mason’s journey in Singapore serves as a compelling case study in strategic international business expansion. By recognizing the unique advantages and challenges of operating in Singapore, Mason was able to transform initial hurdles into opportunities for growth. The company’s ability to adapt its business model, comply with local regulations, and leverage government support has not only secured its position as a leader in the smart-grid sector within Singapore but also established a replicable framework for future expansions into other Asian markets.</w:t>
      </w:r>
    </w:p>
    <w:p>
      <w:pPr>
        <w:pStyle w:val="BodyText"/>
      </w:pPr>
      <w:r>
        <w:t xml:space="preserve">For stakeholders and investors, the Mason case study highlights the importance of agility and localization. It demonstrates that success in Singapore is not merely about having superior technology, but about integrating seamlessly into the local economic and social fabric. As Singapore continues to evolve as a smart nation, Mason stands poised for further growth, serving as a testament to the potential of collaborative innovation in a global city-state.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Digital Transformation Journey in Singapore</dc:title>
  <dc:creator/>
  <cp:keywords/>
  <dcterms:created xsi:type="dcterms:W3CDTF">2026-07-29T16:53:07Z</dcterms:created>
  <dcterms:modified xsi:type="dcterms:W3CDTF">2026-07-29T16:53:07Z</dcterms:modified>
</cp:coreProperties>
</file>

<file path=docProps/custom.xml><?xml version="1.0" encoding="utf-8"?>
<Properties xmlns="http://schemas.openxmlformats.org/officeDocument/2006/custom-properties" xmlns:vt="http://schemas.openxmlformats.org/officeDocument/2006/docPropsVTypes"/>
</file>