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X249b2f0f6e2bccf97fc9f1cb1b823e57fe9c746"/>
    <w:p>
      <w:pPr>
        <w:pStyle w:val="Heading1"/>
      </w:pPr>
      <w:r>
        <w:t xml:space="preserve">Synergy in the Tropics: A Case Study of Mason in United States Miami</w:t>
      </w:r>
    </w:p>
    <w:p>
      <w:pPr>
        <w:pStyle w:val="FirstParagraph"/>
      </w:pPr>
      <w:r>
        <w:rPr>
          <w:bCs/>
          <w:b/>
        </w:rPr>
        <w:t xml:space="preserve">Date:</w:t>
      </w:r>
      <w:r>
        <w:t xml:space="preserve"> </w:t>
      </w:r>
      <w:r>
        <w:t xml:space="preserve">October 24, 2023</w:t>
      </w:r>
      <w:r>
        <w:br/>
      </w:r>
      <w:r>
        <w:rPr>
          <w:bCs/>
          <w:b/>
        </w:rPr>
        <w:t xml:space="preserve">Subject:</w:t>
      </w:r>
      <w:r>
        <w:rPr>
          <w:iCs/>
          <w:i/>
        </w:rPr>
        <w:t xml:space="preserve">Mason</w:t>
      </w:r>
      <w:r>
        <w:t xml:space="preserve">, a next-generation integrated logistics and sustainable urban development firm.</w:t>
      </w:r>
      <w:r>
        <w:br/>
      </w:r>
      <w:r>
        <w:rPr>
          <w:bCs/>
          <w:b/>
        </w:rPr>
        <w:t xml:space="preserve">Location Focus:</w:t>
      </w:r>
      <w:r>
        <w:rPr>
          <w:iCs/>
          <w:i/>
        </w:rPr>
        <w:t xml:space="preserve">United States Miami</w:t>
      </w:r>
      <w:r>
        <w:t xml:space="preserve">, Florida.</w:t>
      </w:r>
    </w:p>
    <w:bookmarkStart w:id="20" w:name="executive-summary"/>
    <w:p>
      <w:pPr>
        <w:pStyle w:val="Heading2"/>
      </w:pPr>
      <w:r>
        <w:t xml:space="preserve">Executive Summary</w:t>
      </w:r>
    </w:p>
    <w:p>
      <w:pPr>
        <w:pStyle w:val="FirstParagraph"/>
      </w:pPr>
      <w:r>
        <w:t xml:space="preserve">In the rapidly evolving landscape of modern urban infrastructure, few entities have demonstrated as much adaptability and strategic foresight as</w:t>
      </w:r>
      <w:r>
        <w:t xml:space="preserve"> </w:t>
      </w:r>
      <w:r>
        <w:rPr>
          <w:iCs/>
          <w:i/>
        </w:rPr>
        <w:t xml:space="preserve">Mason</w:t>
      </w:r>
      <w:r>
        <w:t xml:space="preserve">. This case study explores how Mason successfully navigated the complex regulatory, climatic, and demographic challenges presented by operating in</w:t>
      </w:r>
      <w:r>
        <w:t xml:space="preserve"> </w:t>
      </w:r>
      <w:r>
        <w:rPr>
          <w:iCs/>
          <w:i/>
        </w:rPr>
        <w:t xml:space="preserve">United States Miami</w:t>
      </w:r>
      <w:r>
        <w:t xml:space="preserve">. As a leading provider of smart-logistics solutions and eco-friendly urban planning consulting, Mason’s entry into this iconic port city serves as a pivotal example of how specialized firms can leverage local advantages while mitigating regional risks.</w:t>
      </w:r>
    </w:p>
    <w:p>
      <w:pPr>
        <w:pStyle w:val="BodyText"/>
      </w:pPr>
      <w:r>
        <w:rPr>
          <w:iCs/>
          <w:i/>
        </w:rPr>
        <w:t xml:space="preserve">Mason</w:t>
      </w:r>
      <w:r>
        <w:t xml:space="preserve"> </w:t>
      </w:r>
      <w:r>
        <w:t xml:space="preserve">was established with the core mission to bridge the gap between industrial efficiency and environmental stewardship. Their presence in</w:t>
      </w:r>
      <w:r>
        <w:t xml:space="preserve"> </w:t>
      </w:r>
      <w:r>
        <w:rPr>
          <w:iCs/>
          <w:i/>
        </w:rPr>
        <w:t xml:space="preserve">United States Miami</w:t>
      </w:r>
      <w:r>
        <w:t xml:space="preserve"> </w:t>
      </w:r>
      <w:r>
        <w:t xml:space="preserve">is not merely an expansion but a strategic imperative, given the city’s role as the "Gateway to Latin America." This document details Mason’s operational integration, community engagement strategies, and technological implementations within this specific geographic context.</w:t>
      </w:r>
    </w:p>
    <w:bookmarkEnd w:id="20"/>
    <w:bookmarkStart w:id="23" w:name="the-context-why-united-states-miami"/>
    <w:p>
      <w:pPr>
        <w:pStyle w:val="Heading2"/>
      </w:pPr>
      <w:r>
        <w:t xml:space="preserve">The Context: Why United States Miami?</w:t>
      </w:r>
    </w:p>
    <w:p>
      <w:pPr>
        <w:pStyle w:val="FirstParagraph"/>
      </w:pPr>
      <w:r>
        <w:rPr>
          <w:iCs/>
          <w:i/>
        </w:rPr>
        <w:t xml:space="preserve">United States Miami</w:t>
      </w:r>
      <w:r>
        <w:t xml:space="preserve"> </w:t>
      </w:r>
      <w:r>
        <w:t xml:space="preserve">presents a unique dichotomy for business operations. On one hand, it is a global hub for finance, trade, and tourism. On the other, it faces acute challenges regarding climate change infrastructure and population density. For</w:t>
      </w:r>
      <w:r>
        <w:t xml:space="preserve"> </w:t>
      </w:r>
      <w:r>
        <w:rPr>
          <w:iCs/>
          <w:i/>
        </w:rPr>
        <w:t xml:space="preserve">Mason</w:t>
      </w:r>
      <w:r>
        <w:t xml:space="preserve">, understanding this duality was critical.</w:t>
      </w:r>
    </w:p>
    <w:bookmarkStart w:id="21" w:name="strategic-advantages"/>
    <w:p>
      <w:pPr>
        <w:pStyle w:val="Heading3"/>
      </w:pPr>
      <w:r>
        <w:t xml:space="preserve">Strategic Advantages</w:t>
      </w:r>
    </w:p>
    <w:p>
      <w:pPr>
        <w:numPr>
          <w:ilvl w:val="0"/>
          <w:numId w:val="1001"/>
        </w:numPr>
        <w:pStyle w:val="Compact"/>
      </w:pPr>
      <w:r>
        <w:rPr>
          <w:bCs/>
          <w:b/>
        </w:rPr>
        <w:t xml:space="preserve">Cross-Border Trade:</w:t>
      </w:r>
      <w:r>
        <w:t xml:space="preserve"> </w:t>
      </w:r>
      <w:r>
        <w:t xml:space="preserve">Located at the confluence of the Americas, Miami’s port is one of the busiest in North America. Mason leveraged this to streamline supply chain operations for clients entering Latin American markets.</w:t>
      </w:r>
    </w:p>
    <w:p>
      <w:pPr>
        <w:numPr>
          <w:ilvl w:val="0"/>
          <w:numId w:val="1001"/>
        </w:numPr>
        <w:pStyle w:val="Compact"/>
      </w:pPr>
      <w:r>
        <w:rPr>
          <w:bCs/>
          <w:b/>
        </w:rPr>
        <w:t xml:space="preserve">Demographic Diversity:</w:t>
      </w:r>
      <w:r>
        <w:t xml:space="preserve"> </w:t>
      </w:r>
      <w:r>
        <w:t xml:space="preserve">The multicultural fabric of</w:t>
      </w:r>
      <w:r>
        <w:t xml:space="preserve"> </w:t>
      </w:r>
      <w:r>
        <w:rPr>
          <w:iCs/>
          <w:i/>
        </w:rPr>
        <w:t xml:space="preserve">United States Miami</w:t>
      </w:r>
      <w:r>
        <w:t xml:space="preserve">, particularly its strong Hispanic and international communities, provided a rich testing ground for Mason’s culturally adaptive service models.</w:t>
      </w:r>
    </w:p>
    <w:p>
      <w:pPr>
        <w:numPr>
          <w:ilvl w:val="0"/>
          <w:numId w:val="1001"/>
        </w:numPr>
        <w:pStyle w:val="Compact"/>
      </w:pPr>
      <w:r>
        <w:rPr>
          <w:bCs/>
          <w:b/>
        </w:rPr>
        <w:t xml:space="preserve">Tech Ecosystem:</w:t>
      </w:r>
      <w:r>
        <w:t xml:space="preserve"> </w:t>
      </w:r>
      <w:r>
        <w:t xml:space="preserve">The city’s growing reputation as "Crypto Valley" and a tech startup hub offered Mason opportunities to partner with fintech and logistics innovation labs.</w:t>
      </w:r>
    </w:p>
    <w:bookmarkEnd w:id="21"/>
    <w:bookmarkStart w:id="22" w:name="the-challenges"/>
    <w:p>
      <w:pPr>
        <w:pStyle w:val="Heading3"/>
      </w:pPr>
      <w:r>
        <w:t xml:space="preserve">The Challenges</w:t>
      </w:r>
    </w:p>
    <w:p>
      <w:pPr>
        <w:pStyle w:val="FirstParagraph"/>
      </w:pPr>
      <w:r>
        <w:t xml:space="preserve">However, operating in</w:t>
      </w:r>
      <w:r>
        <w:t xml:space="preserve"> </w:t>
      </w:r>
      <w:r>
        <w:rPr>
          <w:iCs/>
          <w:i/>
        </w:rPr>
        <w:t xml:space="preserve">Mason United States Miami</w:t>
      </w:r>
    </w:p>
    <w:bookmarkEnd w:id="22"/>
    <w:bookmarkEnd w:id="23"/>
    <w:bookmarkStart w:id="28" w:name="masons-strategic-approach"/>
    <w:p>
      <w:pPr>
        <w:pStyle w:val="Heading2"/>
      </w:pPr>
      <w:r>
        <w:t xml:space="preserve">Mason’s Strategic Approach</w:t>
      </w:r>
    </w:p>
    <w:p>
      <w:pPr>
        <w:pStyle w:val="FirstParagraph"/>
      </w:pPr>
      <w:r>
        <w:rPr>
          <w:iCs/>
          <w:i/>
        </w:rPr>
        <w:t xml:space="preserve">Mason</w:t>
      </w:r>
      <w:r>
        <w:t xml:space="preserve"> </w:t>
      </w:r>
      <w:r>
        <w:t xml:space="preserve">adopted a three-pillar strategy to establish its footprint in the region: Resilience, Integration, and Innovation.</w:t>
      </w:r>
    </w:p>
    <w:bookmarkStart w:id="24" w:name="X3f196b2a1640f76c136d25c2300837efb43dabb"/>
    <w:p>
      <w:pPr>
        <w:pStyle w:val="Heading3"/>
      </w:pPr>
      <w:r>
        <w:t xml:space="preserve">Pillar 1: Climate-Resilient Infrastructure Projects</w:t>
      </w:r>
    </w:p>
    <w:p>
      <w:pPr>
        <w:pStyle w:val="FirstParagraph"/>
      </w:pPr>
      <w:r>
        <w:t xml:space="preserve">In response to the unique climate threats facing</w:t>
      </w:r>
      <w:r>
        <w:t xml:space="preserve"> </w:t>
      </w:r>
      <w:r>
        <w:rPr>
          <w:iCs/>
          <w:i/>
        </w:rPr>
        <w:t xml:space="preserve">United States Miami</w:t>
      </w:r>
      <w:r>
        <w:t xml:space="preserve">, Mason initiated a pilot program focused on "Blue-Green" infrastructure. By integrating permeable pavements, elevated data centers, and stormwater management systems into new commercial developments, Mason demonstrated how logistical hubs could coexist with ecological preservation efforts.</w:t>
      </w:r>
    </w:p>
    <w:bookmarkEnd w:id="24"/>
    <w:bookmarkStart w:id="25" w:name="X57c65b521c84574d8ad82d514e5451744c3d738"/>
    <w:p>
      <w:pPr>
        <w:pStyle w:val="Heading3"/>
      </w:pPr>
      <w:r>
        <w:t xml:space="preserve">Case Specific Example: The Port of Miami Dockside Retrofit</w:t>
      </w:r>
    </w:p>
    <w:p>
      <w:pPr>
        <w:pStyle w:val="FirstParagraph"/>
      </w:pPr>
      <w:r>
        <w:t xml:space="preserve">Mason partnered with local municipal planners to retrofit existing dockside facilities. By implementing AI-driven flood prediction models, Mason reduced downtime during storm events by 40%. This success story became a flagship reference for future contracts across the Southeast United States.</w:t>
      </w:r>
    </w:p>
    <w:bookmarkEnd w:id="25"/>
    <w:bookmarkStart w:id="26" w:name="pillar-2-community-centric-logistics"/>
    <w:p>
      <w:pPr>
        <w:pStyle w:val="Heading3"/>
      </w:pPr>
      <w:r>
        <w:t xml:space="preserve">Pillar 2: Community-Centric Logistics</w:t>
      </w:r>
    </w:p>
    <w:p>
      <w:pPr>
        <w:pStyle w:val="FirstParagraph"/>
      </w:pPr>
      <w:r>
        <w:t xml:space="preserve">A significant barrier to entry in dense urban areas like Miami is public skepticism regarding industrial expansion. Mason distinguished itself by prioritizing community engagement. They launched the "Miami Green Corridor" initiative, which converted unused urban spaces into micro-fulfillment centers powered entirely by solar energy.</w:t>
      </w:r>
    </w:p>
    <w:p>
      <w:pPr>
        <w:pStyle w:val="BodyText"/>
      </w:pPr>
      <w:r>
        <w:t xml:space="preserve">By creating local jobs and reducing carbon emissions associated with last-mile delivery in</w:t>
      </w:r>
      <w:r>
        <w:t xml:space="preserve"> </w:t>
      </w:r>
      <w:r>
        <w:rPr>
          <w:iCs/>
          <w:i/>
        </w:rPr>
        <w:t xml:space="preserve">United States Miami</w:t>
      </w:r>
      <w:r>
        <w:t xml:space="preserve">, Mason built strong goodwill among residents. This social license to operate proved crucial when navigating zoning laws and city council approvals.</w:t>
      </w:r>
    </w:p>
    <w:bookmarkEnd w:id="26"/>
    <w:bookmarkStart w:id="27" w:name="pillar-3-technological-integration"/>
    <w:p>
      <w:pPr>
        <w:pStyle w:val="Heading3"/>
      </w:pPr>
      <w:r>
        <w:t xml:space="preserve">Pillar 3: Technological Integration</w:t>
      </w:r>
    </w:p>
    <w:p>
      <w:pPr>
        <w:pStyle w:val="FirstParagraph"/>
      </w:pPr>
      <w:r>
        <w:t xml:space="preserve">Mason deployed its proprietary IoT (Internet of Things) platform, "MasonLink," across all operations in</w:t>
      </w:r>
      <w:r>
        <w:t xml:space="preserve"> </w:t>
      </w:r>
      <w:r>
        <w:rPr>
          <w:iCs/>
          <w:i/>
        </w:rPr>
        <w:t xml:space="preserve">United States Miami</w:t>
      </w:r>
      <w:r>
        <w:t xml:space="preserve">. This system allowed for real-time monitoring of supply chain integrity, temperature-sensitive goods (crucial for pharmaceutical and food imports), and traffic patterns. The integration of blockchain technology ensured transparency in customs clearance processes, significantly speeding up throughput at the port.</w:t>
      </w:r>
    </w:p>
    <w:bookmarkEnd w:id="27"/>
    <w:bookmarkEnd w:id="28"/>
    <w:bookmarkStart w:id="29" w:name="operational-challenges-and-solutions"/>
    <w:p>
      <w:pPr>
        <w:pStyle w:val="Heading2"/>
      </w:pPr>
      <w:r>
        <w:t xml:space="preserve">Operational Challenges and Solutions</w:t>
      </w:r>
    </w:p>
    <w:p>
      <w:pPr>
        <w:pStyle w:val="FirstParagraph"/>
      </w:pPr>
      <w:r>
        <w:t xml:space="preserve">The journey was not without obstacles. Early on, Mason faced difficulties in recruiting specialized talent due to Miami’s competitive housing market. To address this, Mason implemented a remote-first policy for non-field staff and offered relocation assistance packages tailored to the local market realities.</w:t>
      </w:r>
    </w:p>
    <w:p>
      <w:pPr>
        <w:pStyle w:val="BodyText"/>
      </w:pPr>
      <w:r>
        <w:t xml:space="preserve">Furthermore, regulatory hurdles in</w:t>
      </w:r>
      <w:r>
        <w:t xml:space="preserve"> </w:t>
      </w:r>
      <w:r>
        <w:rPr>
          <w:iCs/>
          <w:i/>
        </w:rPr>
        <w:t xml:space="preserve">United States Miami</w:t>
      </w:r>
      <w:r>
        <w:t xml:space="preserve"> </w:t>
      </w:r>
      <w:r>
        <w:t xml:space="preserve">often differed from state-level norms. Mason established a dedicated government affairs office within their Miami headquarters to ensure compliance with both federal maritime regulations and local city ordinances. This proactive approach minimized legal bottlenecks and accelerated project timelines.</w:t>
      </w:r>
    </w:p>
    <w:bookmarkEnd w:id="29"/>
    <w:bookmarkStart w:id="30" w:name="results-and-impact-assessment"/>
    <w:p>
      <w:pPr>
        <w:pStyle w:val="Heading2"/>
      </w:pPr>
      <w:r>
        <w:t xml:space="preserve">Results and Impact Assessment</w:t>
      </w:r>
    </w:p>
    <w:p>
      <w:pPr>
        <w:pStyle w:val="FirstParagraph"/>
      </w:pPr>
      <w:r>
        <w:t xml:space="preserve">After three years of operation, the results for Mason in</w:t>
      </w:r>
      <w:r>
        <w:t xml:space="preserve"> </w:t>
      </w:r>
      <w:r>
        <w:rPr>
          <w:iCs/>
          <w:i/>
        </w:rPr>
        <w:t xml:space="preserve">Mason United States Miami</w:t>
      </w:r>
      <w:r>
        <w:t xml:space="preserve"> </w:t>
      </w:r>
      <w:r>
        <w:t xml:space="preserve">have been overwhelmingly positive.</w:t>
      </w:r>
    </w:p>
    <w:p>
      <w:pPr>
        <w:numPr>
          <w:ilvl w:val="0"/>
          <w:numId w:val="1002"/>
        </w:numPr>
        <w:pStyle w:val="Compact"/>
      </w:pPr>
      <w:r>
        <w:rPr>
          <w:bCs/>
          <w:b/>
        </w:rPr>
        <w:t xml:space="preserve">Economic Impact:</w:t>
      </w:r>
      <w:r>
        <w:br/>
      </w:r>
      <w:r>
        <w:t xml:space="preserve">Mason has facilitated over $50 million in local economic activity, creating approximately 120 direct jobs and supporting hundreds of indirect positions through vendor contracts.</w:t>
      </w:r>
    </w:p>
    <w:p>
      <w:pPr>
        <w:numPr>
          <w:ilvl w:val="0"/>
          <w:numId w:val="1002"/>
        </w:numPr>
        <w:pStyle w:val="Compact"/>
      </w:pPr>
      <w:r>
        <w:rPr>
          <w:bCs/>
          <w:b/>
        </w:rPr>
        <w:t xml:space="preserve">Environmental Metrics:</w:t>
      </w:r>
      <w:r>
        <w:br/>
      </w:r>
      <w:r>
        <w:t xml:space="preserve">The firm reduced its carbon footprint by 35% compared to industry standards for similar logistics firms. The "Green Corridor" project has been cited by the Florida Department of Environmental Protection as a model for urban sustainability.</w:t>
      </w:r>
    </w:p>
    <w:p>
      <w:pPr>
        <w:numPr>
          <w:ilvl w:val="0"/>
          <w:numId w:val="1002"/>
        </w:numPr>
        <w:pStyle w:val="Compact"/>
      </w:pPr>
      <w:r>
        <w:rPr>
          <w:bCs/>
          <w:b/>
        </w:rPr>
        <w:t xml:space="preserve">Client Satisfaction:</w:t>
      </w:r>
      <w:r>
        <w:br/>
      </w:r>
      <w:r>
        <w:t xml:space="preserve">Retention rates among Mason’s clients in the Miami market stand at 95%, driven by the reliability and speed enabled by their tech-forward approach.</w:t>
      </w:r>
    </w:p>
    <w:bookmarkEnd w:id="30"/>
    <w:bookmarkStart w:id="31" w:name="lessons-learned-and-future-outlook"/>
    <w:p>
      <w:pPr>
        <w:pStyle w:val="Heading2"/>
      </w:pPr>
      <w:r>
        <w:t xml:space="preserve">Lessons Learned and Future Outlook</w:t>
      </w:r>
    </w:p>
    <w:p>
      <w:pPr>
        <w:pStyle w:val="FirstParagraph"/>
      </w:pPr>
      <w:r>
        <w:t xml:space="preserve">The success of Mason in this region offers several key takeaways for other organizations looking to expand into complex urban environments within the United States:</w:t>
      </w:r>
    </w:p>
    <w:p>
      <w:pPr>
        <w:numPr>
          <w:ilvl w:val="0"/>
          <w:numId w:val="1003"/>
        </w:numPr>
        <w:pStyle w:val="Compact"/>
      </w:pPr>
      <w:r>
        <w:rPr>
          <w:bCs/>
          <w:b/>
        </w:rPr>
        <w:t xml:space="preserve">Local Adaptation is Key:</w:t>
      </w:r>
      <w:r>
        <w:br/>
      </w:r>
      <w:r>
        <w:t xml:space="preserve">One size does not fit all. Mason succeeded by tailoring its global standards to the specific climatic and cultural nuances of Miami.</w:t>
      </w:r>
    </w:p>
    <w:p>
      <w:pPr>
        <w:numPr>
          <w:ilvl w:val="0"/>
          <w:numId w:val="1003"/>
        </w:numPr>
        <w:pStyle w:val="Compact"/>
      </w:pPr>
      <w:r>
        <w:rPr>
          <w:bCs/>
          <w:b/>
        </w:rPr>
        <w:t xml:space="preserve">Sustainability Drives Profitability:</w:t>
      </w:r>
      <w:r>
        <w:br/>
      </w:r>
      <w:r>
        <w:t xml:space="preserve">Investing in green infrastructure initially required capital, but long-term savings in energy and risk mitigation proved lucrative.</w:t>
      </w:r>
    </w:p>
    <w:p>
      <w:pPr>
        <w:numPr>
          <w:ilvl w:val="0"/>
          <w:numId w:val="1003"/>
        </w:numPr>
        <w:pStyle w:val="Compact"/>
      </w:pPr>
      <w:r>
        <w:rPr>
          <w:bCs/>
          <w:b/>
        </w:rPr>
        <w:t xml:space="preserve">Community as a Stakeholder:</w:t>
      </w:r>
      <w:r>
        <w:br/>
      </w:r>
      <w:r>
        <w:t xml:space="preserve">Engaging with the local community early on transformed potential opponents into advocates for Mason’s projects.</w:t>
      </w:r>
    </w:p>
    <w:p>
      <w:pPr>
        <w:pStyle w:val="FirstParagraph"/>
      </w:pPr>
      <w:r>
        <w:t xml:space="preserve">Looking ahead, Mason plans to expand its footprint throughout Florida and eventually into other major ports in the Southeast. The foundation laid in</w:t>
      </w:r>
      <w:r>
        <w:t xml:space="preserve"> </w:t>
      </w:r>
      <w:r>
        <w:rPr>
          <w:iCs/>
          <w:i/>
        </w:rPr>
        <w:t xml:space="preserve">Mason United States Miami</w:t>
      </w:r>
      <w:r>
        <w:t xml:space="preserve"> </w:t>
      </w:r>
      <w:r>
        <w:t xml:space="preserve">serves as a blueprint for future expansions. The firm remains committed to driving innovation while respecting the unique character and challenges of the cities it serves.</w:t>
      </w:r>
    </w:p>
    <w:bookmarkEnd w:id="31"/>
    <w:bookmarkStart w:id="32" w:name="conclusion"/>
    <w:p>
      <w:pPr>
        <w:pStyle w:val="Heading2"/>
      </w:pPr>
      <w:r>
        <w:t xml:space="preserve">Conclusion</w:t>
      </w:r>
    </w:p>
    <w:p>
      <w:pPr>
        <w:pStyle w:val="FirstParagraph"/>
      </w:pPr>
      <w:r>
        <w:rPr>
          <w:iCs/>
          <w:i/>
        </w:rPr>
        <w:t xml:space="preserve">Mason</w:t>
      </w:r>
      <w:r>
        <w:t xml:space="preserve">'s case in</w:t>
      </w:r>
      <w:r>
        <w:t xml:space="preserve"> </w:t>
      </w:r>
      <w:r>
        <w:rPr>
          <w:iCs/>
          <w:i/>
        </w:rPr>
        <w:t xml:space="preserve">Mason United States Miami</w:t>
      </w:r>
      <w:r>
        <w:t xml:space="preserve"> </w:t>
      </w:r>
      <w:r>
        <w:t xml:space="preserve">illustrates that successful business expansion is not just about economic gain but about creating value for all stakeholders: shareholders, employees, the community, and the environment. By addressing the specific needs of this vibrant metropolitan area with resilience and innovation, Mason has not only secured its own growth but has also contributed to a more sustainable future for</w:t>
      </w:r>
      <w:r>
        <w:t xml:space="preserve"> </w:t>
      </w:r>
      <w:r>
        <w:rPr>
          <w:iCs/>
          <w:i/>
        </w:rPr>
        <w:t xml:space="preserve">Mason United States Miami</w:t>
      </w:r>
      <w:r>
        <w:t xml:space="preserve">. This case study stands as a testament to what is possible when strategic vision meets local expertise.</w:t>
      </w:r>
    </w:p>
    <w:p>
      <w:r>
        <w:pict>
          <v:rect style="width:0;height:1.5pt" o:hralign="center" o:hrstd="t" o:hr="t"/>
        </w:pict>
      </w:r>
    </w:p>
    <w:p>
      <w:pPr>
        <w:pStyle w:val="FirstParagraph"/>
      </w:pPr>
      <w:r>
        <w:rPr>
          <w:bCs/>
          <w:b/>
        </w:rPr>
        <w:t xml:space="preserve">Disclaimer:</w:t>
      </w:r>
      <w:r>
        <w:t xml:space="preserve"> </w:t>
      </w:r>
      <w:r>
        <w:t xml:space="preserve">This document is a fictional case study created for illustrative purposes. Any resemblance to actual persons or entities living or dead is purely coincidental. The data presented regarding Mason’s operations in United States Miami are simulated for the purpose of this exercise.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United States Miami</dc:title>
  <dc:creator/>
  <dc:language>en</dc:language>
  <cp:keywords/>
  <dcterms:created xsi:type="dcterms:W3CDTF">2026-07-29T06:31:02Z</dcterms:created>
  <dcterms:modified xsi:type="dcterms:W3CDTF">2026-07-29T06:31:02Z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