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Value</w:t>
      </w:r>
      <w:r>
        <w:t xml:space="preserve"> </w:t>
      </w:r>
      <w:r>
        <w:t xml:space="preserve">of</w:t>
      </w:r>
      <w:r>
        <w:t xml:space="preserve"> </w:t>
      </w:r>
      <w:r>
        <w:t xml:space="preserve">a</w:t>
      </w:r>
      <w:r>
        <w:t xml:space="preserve"> </w:t>
      </w:r>
      <w:r>
        <w:t xml:space="preserve">Mathematician</w:t>
      </w:r>
      <w:r>
        <w:t xml:space="preserve"> </w:t>
      </w:r>
      <w:r>
        <w:t xml:space="preserve">in</w:t>
      </w:r>
      <w:r>
        <w:t xml:space="preserve"> </w:t>
      </w:r>
      <w:r>
        <w:t xml:space="preserve">Belgium</w:t>
      </w:r>
      <w:r>
        <w:t xml:space="preserve"> </w:t>
      </w:r>
      <w:r>
        <w:t xml:space="preserve">Brussels:</w:t>
      </w:r>
      <w:r>
        <w:t xml:space="preserve"> </w:t>
      </w:r>
      <w:r>
        <w:t xml:space="preserve">A</w:t>
      </w:r>
      <w:r>
        <w:t xml:space="preserve"> </w:t>
      </w:r>
      <w:r>
        <w:t xml:space="preserve">Case</w:t>
      </w:r>
      <w:r>
        <w:t xml:space="preserve"> </w:t>
      </w:r>
      <w:r>
        <w:t xml:space="preserve">Study</w:t>
      </w:r>
    </w:p>
    <w:bookmarkStart w:id="31" w:name="X693d35e4c359ab8726b62af796c7b72378f1dbc"/>
    <w:p>
      <w:pPr>
        <w:pStyle w:val="Heading1"/>
      </w:pPr>
      <w:r>
        <w:t xml:space="preserve">The Strategic Value of a Mathematician in Belgium Brussels: A Case Study</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Confidential Case Study Document</w:t>
      </w:r>
      <w:r>
        <w:br/>
      </w:r>
      <w:r>
        <w:rPr>
          <w:bCs/>
          <w:b/>
        </w:rPr>
        <w:t xml:space="preserve">Jurisdiction Context:</w:t>
      </w:r>
      <w:r>
        <w:t xml:space="preserve"> </w:t>
      </w:r>
      <w:r>
        <w:t xml:space="preserve">Belgium Brussels International Sector</w:t>
      </w:r>
    </w:p>
    <w:bookmarkStart w:id="20" w:name="executive-summary"/>
    <w:p>
      <w:pPr>
        <w:pStyle w:val="Heading2"/>
      </w:pPr>
      <w:r>
        <w:t xml:space="preserve">1. Executive Summary</w:t>
      </w:r>
    </w:p>
    <w:p>
      <w:pPr>
        <w:pStyle w:val="FirstParagraph"/>
      </w:pPr>
      <w:r>
        <w:t xml:space="preserve">In the modern global economy, data is often described as the new oil. However, data without rigorous mathematical analysis is merely raw material with no intrinsic value. This</w:t>
      </w:r>
      <w:r>
        <w:t xml:space="preserve"> </w:t>
      </w:r>
      <w:r>
        <w:rPr>
          <w:bCs/>
          <w:b/>
        </w:rPr>
        <w:t xml:space="preserve">Case Study</w:t>
      </w:r>
      <w:r>
        <w:t xml:space="preserve"> </w:t>
      </w:r>
      <w:r>
        <w:t xml:space="preserve">examines the critical role of a specialized</w:t>
      </w:r>
      <w:r>
        <w:t xml:space="preserve"> </w:t>
      </w:r>
      <w:r>
        <w:rPr>
          <w:bCs/>
          <w:b/>
        </w:rPr>
        <w:t xml:space="preserve">Mathematician</w:t>
      </w:r>
      <w:r>
        <w:t xml:space="preserve"> </w:t>
      </w:r>
      <w:r>
        <w:t xml:space="preserve">operating within the unique geopolitical and economic ecosystem of</w:t>
      </w:r>
      <w:r>
        <w:t xml:space="preserve"> </w:t>
      </w:r>
      <w:r>
        <w:rPr>
          <w:bCs/>
          <w:b/>
        </w:rPr>
        <w:t xml:space="preserve">Belgium Brussels</w:t>
      </w:r>
      <w:r>
        <w:t xml:space="preserve">. As the de facto capital of Europe, hosting key institutions such as NATO, the European Commission, and numerous international lobbying groups, Brussels presents a distinct environment where high-level quantitative reasoning is not just an academic exercise but a strategic necessity. This document explores how integrating advanced mathematical expertise into policy modeling and risk assessment frameworks enhances decision-making accuracy in this hub.</w:t>
      </w:r>
    </w:p>
    <w:bookmarkEnd w:id="20"/>
    <w:bookmarkStart w:id="21" w:name="background-the-brussels-context"/>
    <w:p>
      <w:pPr>
        <w:pStyle w:val="Heading2"/>
      </w:pPr>
      <w:r>
        <w:t xml:space="preserve">2. Background: The Brussels Context</w:t>
      </w:r>
    </w:p>
    <w:p>
      <w:pPr>
        <w:pStyle w:val="FirstParagraph"/>
      </w:pPr>
      <w:r>
        <w:t xml:space="preserve">The landscape of</w:t>
      </w:r>
      <w:r>
        <w:t xml:space="preserve"> </w:t>
      </w:r>
      <w:r>
        <w:rPr>
          <w:bCs/>
          <w:b/>
        </w:rPr>
        <w:t xml:space="preserve">Belgium Brussels</w:t>
      </w:r>
      <w:r>
        <w:t xml:space="preserve"> </w:t>
      </w:r>
      <w:r>
        <w:t xml:space="preserve">is characterized by its density of international organizations, regulatory bodies, and multinational corporations. Unlike other major European cities that may focus primarily on finance or technology alone, Brussels is the intersection of law, policy, diplomacy, and increasingly, data science. The complexity arises from the need to model scenarios that involve multiple sovereign entities with conflicting interests.</w:t>
      </w:r>
    </w:p>
    <w:p>
      <w:pPr>
        <w:pStyle w:val="BodyText"/>
      </w:pPr>
      <w:r>
        <w:t xml:space="preserve">In this environment standard statistical analysis is often insufficient. There is a growing demand for sophisticated stochastic modeling, game theory applications in negotiation simulations, and complex network analysis to understand supply chain vulnerabilities within the European single market. This specific niche creates a high-value opportunity for a qualified</w:t>
      </w:r>
      <w:r>
        <w:t xml:space="preserve"> </w:t>
      </w:r>
      <w:r>
        <w:rPr>
          <w:bCs/>
          <w:b/>
        </w:rPr>
        <w:t xml:space="preserve">Mathematician</w:t>
      </w:r>
      <w:r>
        <w:t xml:space="preserve"> </w:t>
      </w:r>
      <w:r>
        <w:t xml:space="preserve">who can bridge the gap between abstract theoretical models and practical policy outcomes.</w:t>
      </w:r>
    </w:p>
    <w:bookmarkEnd w:id="21"/>
    <w:bookmarkStart w:id="22" w:name="problem-statement"/>
    <w:p>
      <w:pPr>
        <w:pStyle w:val="Heading2"/>
      </w:pPr>
      <w:r>
        <w:t xml:space="preserve">3. Problem Statement</w:t>
      </w:r>
    </w:p>
    <w:p>
      <w:pPr>
        <w:pStyle w:val="FirstParagraph"/>
      </w:pPr>
      <w:r>
        <w:t xml:space="preserve">A hypothetical consortium of international trade advisors operating in</w:t>
      </w:r>
      <w:r>
        <w:t xml:space="preserve"> </w:t>
      </w:r>
      <w:r>
        <w:rPr>
          <w:bCs/>
          <w:b/>
        </w:rPr>
        <w:t xml:space="preserve">Belgium Brussels</w:t>
      </w:r>
      <w:r>
        <w:t xml:space="preserve">, referred to here as "EuroQuant Advisors," faced a significant challenge. Their clients, comprising various EU member states and international NGOs, struggled to predict the long-term economic impacts of proposed regulatory changes on cross-border logistics. Previous models relied heavily on historical linear regressions which failed to account for non-linear disruptions such as geopolitical shifts or sudden supply chain bottlenecks.</w:t>
      </w:r>
    </w:p>
    <w:p>
      <w:pPr>
        <w:pStyle w:val="BodyText"/>
      </w:pPr>
      <w:r>
        <w:t xml:space="preserve">The core problem was identified as a lack of robust stochastic frameworks capable of handling high-dimensional uncertainty. The existing team consisted primarily of economists and lawyers, who lacked the deep mathematical foundation required to build next-generation predictive models. This gap resulted in advisory reports that were often reactive rather than proactive, leading to suboptimal strategic planning for their clients.</w:t>
      </w:r>
    </w:p>
    <w:bookmarkEnd w:id="22"/>
    <w:bookmarkStart w:id="24" w:name="X35d56a0f4841d39c52813a953634669abcbc6d0"/>
    <w:p>
      <w:pPr>
        <w:pStyle w:val="Heading2"/>
      </w:pPr>
      <w:r>
        <w:t xml:space="preserve">4. The Solution: Integrating Mathematical Rigor</w:t>
      </w:r>
    </w:p>
    <w:p>
      <w:pPr>
        <w:pStyle w:val="FirstParagraph"/>
      </w:pPr>
      <w:r>
        <w:t xml:space="preserve">To address these challenges EuroQuant Advisors initiated a strategic hire for the position of Lead</w:t>
      </w:r>
      <w:r>
        <w:t xml:space="preserve"> </w:t>
      </w:r>
      <w:r>
        <w:rPr>
          <w:bCs/>
          <w:b/>
        </w:rPr>
        <w:t xml:space="preserve">Mathematician</w:t>
      </w:r>
      <w:r>
        <w:t xml:space="preserve">. This individual was tasked with redesigning the firm’s analytical engine. The selection criteria emphasized expertise in applied mathematics, specifically in operations research, probability theory, and computational modeling.</w:t>
      </w:r>
    </w:p>
    <w:bookmarkStart w:id="23" w:name="implementation-strategy"/>
    <w:p>
      <w:pPr>
        <w:pStyle w:val="Heading3"/>
      </w:pPr>
      <w:r>
        <w:t xml:space="preserve">4.1 Implementation Strategy</w:t>
      </w:r>
    </w:p>
    <w:p>
      <w:pPr>
        <w:numPr>
          <w:ilvl w:val="0"/>
          <w:numId w:val="1001"/>
        </w:numPr>
        <w:pStyle w:val="Compact"/>
      </w:pPr>
      <w:r>
        <w:rPr>
          <w:bCs/>
          <w:b/>
        </w:rPr>
        <w:t xml:space="preserve">Model Development:</w:t>
      </w:r>
      <w:r>
        <w:t xml:space="preserve">The</w:t>
      </w:r>
      <w:r>
        <w:t xml:space="preserve"> </w:t>
      </w:r>
      <w:r>
        <w:rPr>
          <w:bCs/>
          <w:b/>
        </w:rPr>
        <w:t xml:space="preserve">Mathematician</w:t>
      </w:r>
      <w:r>
        <w:t xml:space="preserve"> </w:t>
      </w:r>
      <w:r>
        <w:t xml:space="preserve">introduced Monte Carlo simulations to replace static forecasting tools. This allowed for millions of possible scenarios to be simulated simultaneously, providing a probability distribution of outcomes rather than a single point estimate.</w:t>
      </w:r>
    </w:p>
    <w:p>
      <w:pPr>
        <w:numPr>
          <w:ilvl w:val="0"/>
          <w:numId w:val="1001"/>
        </w:numPr>
        <w:pStyle w:val="Compact"/>
      </w:pPr>
      <w:r>
        <w:rPr>
          <w:bCs/>
          <w:b/>
        </w:rPr>
        <w:t xml:space="preserve">Game Theory Application:</w:t>
      </w:r>
      <w:r>
        <w:t xml:space="preserve">Leveraging the political nature of</w:t>
      </w:r>
      <w:r>
        <w:t xml:space="preserve"> </w:t>
      </w:r>
      <w:r>
        <w:rPr>
          <w:bCs/>
          <w:b/>
        </w:rPr>
        <w:t xml:space="preserve">Belgium Brussels</w:t>
      </w:r>
      <w:r>
        <w:t xml:space="preserve">, the mathematician applied cooperative game theory to model negotiation dynamics between EU member states. This helped clients understand coalition-building strategies and potential veto points in legislative processes.</w:t>
      </w:r>
    </w:p>
    <w:p>
      <w:pPr>
        <w:numPr>
          <w:ilvl w:val="0"/>
          <w:numId w:val="1001"/>
        </w:numPr>
        <w:pStyle w:val="Compact"/>
      </w:pPr>
      <w:r>
        <w:rPr>
          <w:bCs/>
          <w:b/>
        </w:rPr>
        <w:t xml:space="preserve">Algorithmic Optimization:</w:t>
      </w:r>
      <w:r>
        <w:t xml:space="preserve">New algorithms were developed to optimize resource allocation for NGOs operating across multiple borders, considering variables such as currency fluctuation, regulatory compliance costs, and logistical efficiency.</w:t>
      </w:r>
    </w:p>
    <w:bookmarkEnd w:id="23"/>
    <w:bookmarkEnd w:id="24"/>
    <w:bookmarkStart w:id="27" w:name="analysis-and-results"/>
    <w:p>
      <w:pPr>
        <w:pStyle w:val="Heading2"/>
      </w:pPr>
      <w:r>
        <w:t xml:space="preserve">5. Analysis and Results</w:t>
      </w:r>
    </w:p>
    <w:p>
      <w:pPr>
        <w:pStyle w:val="FirstParagraph"/>
      </w:pPr>
      <w:r>
        <w:t xml:space="preserve">The integration of advanced mathematics transformed the operational capabilities of EuroQuant Advisors. Within eighteen months the firm reported a 40% increase in client retention rates. More importantly the accuracy of their predictive models improved significantly, allowing clients to mitigate risks that had previously been unforeseen.</w:t>
      </w:r>
    </w:p>
    <w:bookmarkStart w:id="25" w:name="quantitative-impact"/>
    <w:p>
      <w:pPr>
        <w:pStyle w:val="Heading3"/>
      </w:pPr>
      <w:r>
        <w:t xml:space="preserve">5.1 Quantitative Impact</w:t>
      </w:r>
    </w:p>
    <w:p>
      <w:pPr>
        <w:pStyle w:val="FirstParagraph"/>
      </w:pPr>
      <w:r>
        <w:t xml:space="preserve">In one specific pilot project involving agricultural subsidy distribution across Eastern and Western Europe, the new mathematical framework identified a 15% potential inefficiency in the proposed allocation method. By adjusting the coefficients based on real-time supply data and demand elasticity models developed by the</w:t>
      </w:r>
      <w:r>
        <w:t xml:space="preserve"> </w:t>
      </w:r>
      <w:r>
        <w:rPr>
          <w:bCs/>
          <w:b/>
        </w:rPr>
        <w:t xml:space="preserve">Mathematician</w:t>
      </w:r>
      <w:r>
        <w:t xml:space="preserve">, the client saved approximately €5 million in administrative waste during the first year of implementation.</w:t>
      </w:r>
    </w:p>
    <w:bookmarkEnd w:id="25"/>
    <w:bookmarkStart w:id="26" w:name="strategic-advantage-in-brussels"/>
    <w:p>
      <w:pPr>
        <w:pStyle w:val="Heading3"/>
      </w:pPr>
      <w:r>
        <w:t xml:space="preserve">5.2 Strategic Advantage in Brussels</w:t>
      </w:r>
    </w:p>
    <w:p>
      <w:pPr>
        <w:pStyle w:val="FirstParagraph"/>
      </w:pPr>
      <w:r>
        <w:t xml:space="preserve">The presence of a dedicated</w:t>
      </w:r>
      <w:r>
        <w:t xml:space="preserve"> </w:t>
      </w:r>
      <w:r>
        <w:rPr>
          <w:bCs/>
          <w:b/>
        </w:rPr>
        <w:t xml:space="preserve">Mathematician</w:t>
      </w:r>
      <w:r>
        <w:t xml:space="preserve"> </w:t>
      </w:r>
      <w:r>
        <w:t xml:space="preserve">provided EuroQuant with a unique selling proposition in</w:t>
      </w:r>
      <w:r>
        <w:t xml:space="preserve"> </w:t>
      </w:r>
      <w:r>
        <w:rPr>
          <w:bCs/>
          <w:b/>
        </w:rPr>
        <w:t xml:space="preserve">Belgium Brussels</w:t>
      </w:r>
      <w:r>
        <w:t xml:space="preserve">. While competitors relied on qualitative analysis and standard economic indicators, EuroQuant offered data-driven certainty. This distinction proved crucial when advising NATO on logistics optimization for peacekeeping missions, where mathematical precision directly impacts operational safety and cost-efficiency.</w:t>
      </w:r>
    </w:p>
    <w:bookmarkEnd w:id="26"/>
    <w:bookmarkEnd w:id="27"/>
    <w:bookmarkStart w:id="28" w:name="challenges-and-mitigation"/>
    <w:p>
      <w:pPr>
        <w:pStyle w:val="Heading2"/>
      </w:pPr>
      <w:r>
        <w:t xml:space="preserve">6. Challenges and Mitigation</w:t>
      </w:r>
    </w:p>
    <w:p>
      <w:pPr>
        <w:pStyle w:val="FirstParagraph"/>
      </w:pPr>
      <w:r>
        <w:t xml:space="preserve">The transition was not without hurdles. A significant challenge was the communication barrier between the</w:t>
      </w:r>
      <w:r>
        <w:t xml:space="preserve"> </w:t>
      </w:r>
      <w:r>
        <w:rPr>
          <w:bCs/>
          <w:b/>
        </w:rPr>
        <w:t xml:space="preserve">Mathematician</w:t>
      </w:r>
      <w:r>
        <w:t xml:space="preserve">, who spoke in terms of variables, functions, and probabilities, and the policy experts who required actionable narratives. To mitigate this, structured workshops were held to translate complex mathematical concepts into clear policy implications. Additionally cultural sensitivity to the multilingual environment of</w:t>
      </w:r>
      <w:r>
        <w:t xml:space="preserve"> </w:t>
      </w:r>
      <w:r>
        <w:rPr>
          <w:bCs/>
          <w:b/>
        </w:rPr>
        <w:t xml:space="preserve">Belgium Brussels</w:t>
      </w:r>
      <w:r>
        <w:t xml:space="preserve"> </w:t>
      </w:r>
      <w:r>
        <w:t xml:space="preserve">was maintained by ensuring that all technical documentation was available in English French and German.</w:t>
      </w:r>
    </w:p>
    <w:bookmarkEnd w:id="28"/>
    <w:bookmarkStart w:id="29" w:name="conclusion-and-recommendations"/>
    <w:p>
      <w:pPr>
        <w:pStyle w:val="Heading2"/>
      </w:pPr>
      <w:r>
        <w:t xml:space="preserve">7. Conclusion and Recommendations</w:t>
      </w:r>
    </w:p>
    <w:p>
      <w:pPr>
        <w:pStyle w:val="FirstParagraph"/>
      </w:pPr>
      <w:r>
        <w:t xml:space="preserve">This</w:t>
      </w:r>
      <w:r>
        <w:t xml:space="preserve"> </w:t>
      </w:r>
      <w:r>
        <w:rPr>
          <w:bCs/>
          <w:b/>
        </w:rPr>
        <w:t xml:space="preserve">Case Study</w:t>
      </w:r>
      <w:r>
        <w:t xml:space="preserve"> </w:t>
      </w:r>
      <w:r>
        <w:t xml:space="preserve">demonstrates that the role of a</w:t>
      </w:r>
    </w:p>
    <w:p>
      <w:pPr>
        <w:pStyle w:val="BodyText"/>
      </w:pPr>
      <w:r>
        <w:t xml:space="preserve">Mathematician in</w:t>
      </w:r>
    </w:p>
    <w:p>
      <w:pPr>
        <w:pStyle w:val="BodyText"/>
      </w:pPr>
      <w:r>
        <w:t xml:space="preserve">Belgium Brussels  is evolving from a niche academic role to a central strategic asset. As the European Union continues to grapple with complex digital transformation green energy transitions and geopolitical realignments, the ability to model uncertainty and optimize complex systems is paramount.</w:t>
      </w:r>
    </w:p>
    <w:p>
      <w:pPr>
        <w:pStyle w:val="BodyText"/>
      </w:pPr>
      <w:r>
        <w:t xml:space="preserve">For organizations operating in or expanding into</w:t>
      </w:r>
      <w:r>
        <w:t xml:space="preserve"> </w:t>
      </w:r>
      <w:r>
        <w:rPr>
          <w:bCs/>
          <w:b/>
        </w:rPr>
        <w:t xml:space="preserve">Belgium Brussels</w:t>
      </w:r>
      <w:r>
        <w:t xml:space="preserve">, it is recommended that they prioritize the recruitment of high-level mathematical talent not just for IT departments but for executive strategy teams. The synergy between rigorous mathematical logic and high-stakes international policy creates a competitive advantage that is increasingly difficult to replicate. Future research should explore the integration of artificial intelligence with pure mathematics further, as this convergence will likely define the next generation of analytical services in the heart of Europe.</w:t>
      </w:r>
    </w:p>
    <w:bookmarkEnd w:id="29"/>
    <w:bookmarkStart w:id="30" w:name="references"/>
    <w:p>
      <w:pPr>
        <w:pStyle w:val="Heading2"/>
      </w:pPr>
      <w:r>
        <w:t xml:space="preserve">8. References</w:t>
      </w:r>
    </w:p>
    <w:p>
      <w:pPr>
        <w:pStyle w:val="FirstParagraph"/>
      </w:pPr>
      <w:r>
        <w:rPr>
          <w:iCs/>
          <w:i/>
        </w:rPr>
        <w:t xml:space="preserve">Note: This case study uses anonymized data for illustrative purposes based on common trends observed in international consulting firms located in the EU quarter.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Value of a Mathematician in Belgium Brussels: A Case Study</dc:title>
  <dc:creator/>
  <dc:language>en</dc:language>
  <cp:keywords/>
  <dcterms:created xsi:type="dcterms:W3CDTF">2026-07-29T04:11:15Z</dcterms:created>
  <dcterms:modified xsi:type="dcterms:W3CDTF">2026-07-29T04:11:15Z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