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Senior</w:t>
      </w:r>
      <w:r>
        <w:t xml:space="preserve"> </w:t>
      </w:r>
      <w:r>
        <w:t xml:space="preserve">Mathematician</w:t>
      </w:r>
      <w:r>
        <w:t xml:space="preserve"> </w:t>
      </w:r>
      <w:r>
        <w:t xml:space="preserve">in</w:t>
      </w:r>
      <w:r>
        <w:t xml:space="preserve"> </w:t>
      </w:r>
      <w:r>
        <w:t xml:space="preserve">Germany</w:t>
      </w:r>
      <w:r>
        <w:t xml:space="preserve"> </w:t>
      </w:r>
      <w:r>
        <w:t xml:space="preserve">Frankfurt</w:t>
      </w:r>
    </w:p>
    <w:bookmarkStart w:id="31" w:name="case-study-report"/>
    <w:p>
      <w:pPr>
        <w:pStyle w:val="Heading1"/>
      </w:pPr>
      <w:r>
        <w:t xml:space="preserve">Case Study Report</w:t>
      </w:r>
    </w:p>
    <w:p>
      <w:pPr>
        <w:pStyle w:val="FirstParagraph"/>
      </w:pPr>
      <w:r>
        <w:rPr>
          <w:bCs/>
          <w:b/>
        </w:rPr>
        <w:t xml:space="preserve">Date:</w:t>
      </w:r>
      <w:r>
        <w:br/>
      </w:r>
      <w:r>
        <w:t xml:space="preserve">October 26, 2023</w:t>
      </w:r>
      <w:r>
        <w:br/>
      </w:r>
      <w:r>
        <w:br/>
      </w:r>
      <w:r>
        <w:rPr>
          <w:bCs/>
          <w:b/>
        </w:rPr>
        <w:t xml:space="preserve">Title:</w:t>
      </w:r>
      <w:r>
        <w:br/>
      </w:r>
      <w:r>
        <w:t xml:space="preserve">Bridging Theory and Practice: Deploying a Senior Mathematician in the Financial Hub of Germany Frankfurt</w:t>
      </w:r>
      <w:r>
        <w:br/>
      </w:r>
      <w:r>
        <w:br/>
      </w:r>
      <w:r>
        <w:rPr>
          <w:bCs/>
          <w:b/>
        </w:rPr>
        <w:t xml:space="preserve">Subject:</w:t>
      </w:r>
      <w:r>
        <w:br/>
      </w:r>
      <w:r>
        <w:t xml:space="preserve">Strategic Workforce Planning for High-Impact Analytical Roles</w:t>
      </w:r>
    </w:p>
    <w:p>
      <w:pPr>
        <w:pStyle w:val="BodyText"/>
      </w:pPr>
      <w:r>
        <w:t xml:space="preserve">This document serves as a comprehensive case study detailing the recruitment, integration, and value realization of a senior Mathematician within the financial sector in Germany Frankfurt. The analysis explores why this specific role is critical in one of Europe's most competitive economic landscapes.</w:t>
      </w:r>
    </w:p>
    <w:bookmarkStart w:id="20" w:name="executive-summary"/>
    <w:p>
      <w:pPr>
        <w:pStyle w:val="Heading2"/>
      </w:pPr>
      <w:r>
        <w:t xml:space="preserve">1. Executive Summary</w:t>
      </w:r>
    </w:p>
    <w:p>
      <w:pPr>
        <w:pStyle w:val="FirstParagraph"/>
      </w:pPr>
      <w:r>
        <w:t xml:space="preserve">In an era defined by big data, algorithmic trading, and complex risk modeling, the demand for rigorous mathematical expertise has never been higher. This case study focuses on a multinational financial services firm headquartered in Germany Frankfurt that sought to enhance its quantitative research capabilities by hiring a Senior Mathematician. The primary objective was to optimize derivative pricing models and improve predictive analytics for asset management strategies located in the heart of Europe's financial district.</w:t>
      </w:r>
    </w:p>
    <w:bookmarkEnd w:id="20"/>
    <w:bookmarkStart w:id="21" w:name="X1750ca3c3a4ecaa07f197793a09627eba5f360f"/>
    <w:p>
      <w:pPr>
        <w:pStyle w:val="Heading2"/>
      </w:pPr>
      <w:r>
        <w:t xml:space="preserve">2. Contextual Background: The Importance of Germany Frankfurt</w:t>
      </w:r>
    </w:p>
    <w:p>
      <w:pPr>
        <w:pStyle w:val="FirstParagraph"/>
      </w:pPr>
      <w:r>
        <w:t xml:space="preserve">The location selected for this initiative, Germany Frankfurt, is not arbitrary. As the banking capital of continental Europe, Germany Frankfurt hosts the European Central Bank (ECB) and numerous major international financial institutions. It is a city where regulatory compliance meets cutting-edge technological innovation.</w:t>
      </w:r>
    </w:p>
    <w:p>
      <w:pPr>
        <w:pStyle w:val="BodyText"/>
      </w:pPr>
      <w:r>
        <w:t xml:space="preserve">Hiring talent in Germany Frankfurt presents unique opportunities and challenges. The region boasts a highly educated workforce with strong ties to technical universities in nearby cities like Darmstadt and Mainz. However, competition for top-tier analytical minds is fierce due to the density of hedge funds, investment banks, and fintech startups operating within the city limits.</w:t>
      </w:r>
    </w:p>
    <w:p>
      <w:pPr>
        <w:pStyle w:val="BodyText"/>
      </w:pPr>
      <w:r>
        <w:t xml:space="preserve">For our subject case, being based in Germany Frankfurt meant having direct access to industry conferences such as the Frankfurt Book Fair’s financial editions and local meetups focused on actuarial science and quantitative finance. This geographic advantage allowed the firm to network effectively, ensuring that their recruitment strategy aligned with local labor market dynamics.</w:t>
      </w:r>
    </w:p>
    <w:bookmarkEnd w:id="21"/>
    <w:bookmarkStart w:id="23" w:name="the-role-defining-the-mathematician"/>
    <w:p>
      <w:pPr>
        <w:pStyle w:val="Heading2"/>
      </w:pPr>
      <w:r>
        <w:t xml:space="preserve">3. The Role: Defining the Mathematician</w:t>
      </w:r>
    </w:p>
    <w:p>
      <w:pPr>
        <w:pStyle w:val="FirstParagraph"/>
      </w:pPr>
      <w:r>
        <w:t xml:space="preserve">The position of a Mathematician in this context is distinct from general data science roles. While data scientists often focus on machine learning applications and software engineering, a dedicated Mathematician brings deep theoretical knowledge in areas such as stochastic calculus, partial differential equations (PDEs), and number theory.</w:t>
      </w:r>
    </w:p>
    <w:bookmarkStart w:id="22" w:name="key-responsibilities"/>
    <w:p>
      <w:pPr>
        <w:pStyle w:val="Heading3"/>
      </w:pPr>
      <w:r>
        <w:t xml:space="preserve">Key Responsibilities:</w:t>
      </w:r>
    </w:p>
    <w:p>
      <w:pPr>
        <w:numPr>
          <w:ilvl w:val="0"/>
          <w:numId w:val="1001"/>
        </w:numPr>
        <w:pStyle w:val="Compact"/>
      </w:pPr>
      <w:r>
        <w:rPr>
          <w:bCs/>
          <w:b/>
        </w:rPr>
        <w:t xml:space="preserve">Rigorous Model Validation:</w:t>
      </w:r>
      <w:r>
        <w:t xml:space="preserve"> </w:t>
      </w:r>
      <w:r>
        <w:t xml:space="preserve">Ensuring that pricing models adhere to strict mathematical proofs and logical consistency checks before deployment into live trading environments.</w:t>
      </w:r>
    </w:p>
    <w:p>
      <w:pPr>
        <w:numPr>
          <w:ilvl w:val="0"/>
          <w:numId w:val="1001"/>
        </w:numPr>
        <w:pStyle w:val="Compact"/>
      </w:pPr>
      <w:r>
        <w:rPr>
          <w:bCs/>
          <w:b/>
        </w:rPr>
        <w:t xml:space="preserve">New Product Development:</w:t>
      </w:r>
    </w:p>
    <w:p>
      <w:pPr>
        <w:numPr>
          <w:ilvl w:val="0"/>
          <w:numId w:val="1001"/>
        </w:numPr>
        <w:pStyle w:val="Compact"/>
      </w:pPr>
      <w:r>
        <w:rPr>
          <w:bCs/>
          <w:b/>
        </w:rPr>
        <w:t xml:space="preserve">Risk Management Enhancement:</w:t>
      </w:r>
      <w:r>
        <w:t xml:space="preserve"> </w:t>
      </w:r>
      <w:r>
        <w:t xml:space="preserve">Applying advanced probability theory to simulate tail-risk events, crucial for regulatory compliance under Basel III standards prevalent in Germany.</w:t>
      </w:r>
    </w:p>
    <w:p>
      <w:pPr>
        <w:pStyle w:val="FirstParagraph"/>
      </w:pPr>
      <w:r>
        <w:t xml:space="preserve">The ideal candidate needed more than just coding proficiency; they required the intellectual discipline to derive solutions from first principles, a trait that differentiates a pure Mathematician from other analytical professionals.</w:t>
      </w:r>
    </w:p>
    <w:bookmarkEnd w:id="22"/>
    <w:bookmarkEnd w:id="23"/>
    <w:bookmarkStart w:id="25" w:name="recruitment-challenges-and-solutions"/>
    <w:p>
      <w:pPr>
        <w:pStyle w:val="Heading2"/>
      </w:pPr>
      <w:r>
        <w:t xml:space="preserve">4. Recruitment Challenges and Solutions</w:t>
      </w:r>
    </w:p>
    <w:p>
      <w:pPr>
        <w:pStyle w:val="FirstParagraph"/>
      </w:pPr>
      <w:r>
        <w:t xml:space="preserve">Finding such specialized talent in Germany Frankfurt required a multi-pronged approach. Standard job postings were insufficient because many potential candidates were already embedded in academia or highly specialized boutique firms.</w:t>
      </w:r>
    </w:p>
    <w:bookmarkStart w:id="24" w:name="the-search-strategy"/>
    <w:p>
      <w:pPr>
        <w:pStyle w:val="Heading3"/>
      </w:pPr>
      <w:r>
        <w:t xml:space="preserve">The Search Strategy:</w:t>
      </w:r>
    </w:p>
    <w:p>
      <w:pPr>
        <w:numPr>
          <w:ilvl w:val="0"/>
          <w:numId w:val="1002"/>
        </w:numPr>
        <w:pStyle w:val="Compact"/>
      </w:pPr>
      <w:r>
        <w:rPr>
          <w:bCs/>
          <w:b/>
        </w:rPr>
        <w:t xml:space="preserve">Academic Partnerships:</w:t>
      </w:r>
      <w:r>
        <w:t xml:space="preserve"> </w:t>
      </w:r>
      <w:r>
        <w:t xml:space="preserve">The firm collaborated with the Goethe University Frankfurt to identify PhD graduates specializing in applied mathematics.</w:t>
      </w:r>
    </w:p>
    <w:p>
      <w:pPr>
        <w:numPr>
          <w:ilvl w:val="0"/>
          <w:numId w:val="1002"/>
        </w:numPr>
        <w:pStyle w:val="Compact"/>
      </w:pPr>
      <w:r>
        <w:rPr>
          <w:bCs/>
          <w:b/>
        </w:rPr>
        <w:t xml:space="preserve">Niche Headhunting:</w:t>
      </w:r>
      <w:r>
        <w:t xml:space="preserve"> </w:t>
      </w:r>
      <w:r>
        <w:t xml:space="preserve">Specialized recruiters were engaged to target mathematicians currently working in neighboring financial hubs like London and Zurich, offering relocation packages that highlighted the quality of life in Germany.</w:t>
      </w:r>
    </w:p>
    <w:p>
      <w:pPr>
        <w:numPr>
          <w:ilvl w:val="0"/>
          <w:numId w:val="1002"/>
        </w:numPr>
        <w:pStyle w:val="Compact"/>
      </w:pPr>
      <w:r>
        <w:rPr>
          <w:bCs/>
          <w:b/>
        </w:rPr>
        <w:t xml:space="preserve">Cultural Integration:</w:t>
      </w:r>
      <w:r>
        <w:t xml:space="preserve"> </w:t>
      </w:r>
      <w:r>
        <w:t xml:space="preserve">Recognizing the importance of language, while English is the lingua franca of finance, proficiency in German was encouraged for client-facing interactions within local banking sectors. Support systems were established to help international hires navigate bureaucratic processes specific to living and working in Germany.</w:t>
      </w:r>
    </w:p>
    <w:bookmarkEnd w:id="24"/>
    <w:bookmarkEnd w:id="25"/>
    <w:bookmarkStart w:id="27" w:name="implementation-and-integration"/>
    <w:p>
      <w:pPr>
        <w:pStyle w:val="Heading2"/>
      </w:pPr>
      <w:r>
        <w:t xml:space="preserve">5. Implementation and Integration</w:t>
      </w:r>
    </w:p>
    <w:p>
      <w:pPr>
        <w:pStyle w:val="FirstParagraph"/>
      </w:pPr>
      <w:r>
        <w:t xml:space="preserve">Once the Mathematician was onboarded, the integration phase focused on bridging the gap between theoretical abstraction and practical business application. The new hire was embedded within a cross-functional team comprising software engineers, financial analysts, and compliance officers.</w:t>
      </w:r>
    </w:p>
    <w:bookmarkStart w:id="26" w:name="initial-projects"/>
    <w:p>
      <w:pPr>
        <w:pStyle w:val="Heading3"/>
      </w:pPr>
      <w:r>
        <w:t xml:space="preserve">Initial Projects:</w:t>
      </w:r>
    </w:p>
    <w:p>
      <w:pPr>
        <w:pStyle w:val="FirstParagraph"/>
      </w:pPr>
      <w:r>
        <w:t xml:space="preserve">The first major task involved auditing existing Monte Carlo simulation tools used for option pricing. The Mathematician identified inefficiencies in the random number generation processes and implemented a quasi-Monte Carlo method using low-discrepancy sequences. This theoretical improvement led to a significant reduction in computational time without sacrificing accuracy.</w:t>
      </w:r>
    </w:p>
    <w:bookmarkEnd w:id="26"/>
    <w:bookmarkEnd w:id="27"/>
    <w:bookmarkStart w:id="28" w:name="outcomes-and-business-impact"/>
    <w:p>
      <w:pPr>
        <w:pStyle w:val="Heading2"/>
      </w:pPr>
      <w:r>
        <w:t xml:space="preserve">6. Outcomes and Business Impact</w:t>
      </w:r>
    </w:p>
    <w:p>
      <w:pPr>
        <w:pStyle w:val="FirstParagraph"/>
      </w:pPr>
      <w:r>
        <w:t xml:space="preserve">The deployment of the Senior Mathematician yielded measurable results within the first year:</w:t>
      </w:r>
    </w:p>
    <w:p>
      <w:pPr>
        <w:numPr>
          <w:ilvl w:val="0"/>
          <w:numId w:val="1003"/>
        </w:numPr>
        <w:pStyle w:val="Compact"/>
      </w:pPr>
      <w:r>
        <w:rPr>
          <w:bCs/>
          <w:b/>
        </w:rPr>
        <w:t xml:space="preserve">Precision Improvement:</w:t>
      </w:r>
      <w:r>
        <w:t xml:space="preserve"> </w:t>
      </w:r>
      <w:r>
        <w:t xml:space="preserve">A 15% improvement in pricing accuracy for complex derivatives, directly impacting profit margins.</w:t>
      </w:r>
    </w:p>
    <w:p>
      <w:pPr>
        <w:numPr>
          <w:ilvl w:val="0"/>
          <w:numId w:val="1003"/>
        </w:numPr>
        <w:pStyle w:val="Compact"/>
      </w:pPr>
      <w:r>
        <w:rPr>
          <w:bCs/>
          <w:b/>
        </w:rPr>
        <w:t xml:space="preserve">Risk Mitigation:</w:t>
      </w:r>
      <w:r>
        <w:t xml:space="preserve"> </w:t>
      </w:r>
      <w:r>
        <w:t xml:space="preserve">Enhanced stress-testing capabilities allowed the firm to anticipate market fluctuations more effectively during periods of high volatility.</w:t>
      </w:r>
    </w:p>
    <w:p>
      <w:pPr>
        <w:numPr>
          <w:ilvl w:val="0"/>
          <w:numId w:val="1003"/>
        </w:numPr>
        <w:pStyle w:val="Compact"/>
      </w:pPr>
      <w:r>
        <w:t xml:space="preserve">: Strengthened internal controls met stringent requirements from German financial regulators, reducing audit findings.</w:t>
      </w:r>
    </w:p>
    <w:p>
      <w:pPr>
        <w:pStyle w:val="FirstParagraph"/>
      </w:pPr>
      <w:r>
        <w:t xml:space="preserve">Furthermore, the presence of a high-level Mathematician boosted the firm’s reputation in Germany Frankfurt as an institution committed to scientific rigor rather than just technological buzzwords. This attracted further talent and sophisticated clients who value analytical depth.</w:t>
      </w:r>
    </w:p>
    <w:bookmarkEnd w:id="28"/>
    <w:bookmarkStart w:id="29" w:name="lessons-learned"/>
    <w:p>
      <w:pPr>
        <w:pStyle w:val="Heading2"/>
      </w:pPr>
      <w:r>
        <w:t xml:space="preserve">7. Lessons Learned</w:t>
      </w:r>
    </w:p>
    <w:p>
      <w:pPr>
        <w:pStyle w:val="FirstParagraph"/>
      </w:pPr>
      <w:r>
        <w:t xml:space="preserve">This case study highlights several critical insights for organizations looking to hire Mathematicians in competitive financial centers like Germany Frankfurt:</w:t>
      </w:r>
    </w:p>
    <w:p>
      <w:pPr>
        <w:numPr>
          <w:ilvl w:val="0"/>
          <w:numId w:val="1004"/>
        </w:numPr>
        <w:pStyle w:val="Compact"/>
      </w:pPr>
      <w:r>
        <w:rPr>
          <w:bCs/>
          <w:b/>
        </w:rPr>
        <w:t xml:space="preserve">Pure vs. Applied Balance:</w:t>
      </w:r>
      <w:r>
        <w:t xml:space="preserve"> </w:t>
      </w:r>
      <w:r>
        <w:t xml:space="preserve">Organizations must clearly define whether they need pure theoretical exploration or applied mathematical modeling. Clear communication prevents misalignment between expectations and deliverables.</w:t>
      </w:r>
    </w:p>
    <w:p>
      <w:pPr>
        <w:numPr>
          <w:ilvl w:val="0"/>
          <w:numId w:val="1004"/>
        </w:numPr>
        <w:pStyle w:val="Compact"/>
      </w:pPr>
      <w:r>
        <w:rPr>
          <w:bCs/>
          <w:b/>
        </w:rPr>
        <w:t xml:space="preserve">Ecosystem Leveraging:</w:t>
      </w:r>
      <w:r>
        <w:t xml:space="preserve">Tapping into the local academic ecosystem in Germany is vital for sourcing niche talent that may not be actively job hunting.</w:t>
      </w:r>
    </w:p>
    <w:p>
      <w:pPr>
        <w:numPr>
          <w:ilvl w:val="0"/>
          <w:numId w:val="1004"/>
        </w:numPr>
        <w:pStyle w:val="Compact"/>
      </w:pPr>
      <w:r>
        <w:rPr>
          <w:bCs/>
          <w:b/>
        </w:rPr>
        <w:t xml:space="preserve">Cultural Fit:</w:t>
      </w:r>
      <w:r>
        <w:t xml:space="preserve"> </w:t>
      </w:r>
      <w:r>
        <w:t xml:space="preserve">Even in international finance, understanding local business cultures—including those related to precision and documentation common in Germany—enhances team cohesion.</w:t>
      </w:r>
    </w:p>
    <w:bookmarkEnd w:id="29"/>
    <w:bookmarkStart w:id="30" w:name="conclusion"/>
    <w:p>
      <w:pPr>
        <w:pStyle w:val="Heading2"/>
      </w:pPr>
      <w:r>
        <w:t xml:space="preserve">8. Conclusion</w:t>
      </w:r>
    </w:p>
    <w:p>
      <w:pPr>
        <w:pStyle w:val="FirstParagraph"/>
      </w:pPr>
      <w:r>
        <w:t xml:space="preserve">In conclusion, the strategic inclusion of a Mathematician within the operations based in Germany Frankfurt proved to be a high-value investment. It demonstrated that deep mathematical expertise remains indispensable even in an age dominated by artificial intelligence and black-box algorithms. By combining theoretical rigor with practical application, firms can secure a competitive edge.</w:t>
      </w:r>
    </w:p>
    <w:p>
      <w:pPr>
        <w:pStyle w:val="BodyText"/>
      </w:pPr>
      <w:r>
        <w:t xml:space="preserve">For other institutions considering similar moves, the key lies in recognizing the unique value proposition of mathematical precision and investing in recruitment strategies that target both academic excellence and local market relevance. The success story in Germany Frankfurt serves as a benchmark for how specialized analytical roles drive innovation and stability in modern finance.</w:t>
      </w:r>
    </w:p>
    <w:p>
      <w:r>
        <w:pict>
          <v:rect style="width:0;height:1.5pt" o:hralign="center" o:hrstd="t" o:hr="t"/>
        </w:pict>
      </w:r>
    </w:p>
    <w:p>
      <w:pPr>
        <w:pStyle w:val="FirstParagraph"/>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Integration of a Senior Mathematician in Germany Frankfurt</dc:title>
  <dc:creator/>
  <dc:language>en</dc:language>
  <cp:keywords/>
  <dcterms:created xsi:type="dcterms:W3CDTF">2026-07-29T09:22:09Z</dcterms:created>
  <dcterms:modified xsi:type="dcterms:W3CDTF">2026-07-29T09:22:09Z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