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Qatar</w:t>
      </w:r>
      <w:r>
        <w:t xml:space="preserve"> </w:t>
      </w:r>
      <w:r>
        <w:t xml:space="preserve">Doha's</w:t>
      </w:r>
      <w:r>
        <w:t xml:space="preserve"> </w:t>
      </w:r>
      <w:r>
        <w:t xml:space="preserve">Vision</w:t>
      </w:r>
      <w:r>
        <w:t xml:space="preserve"> </w:t>
      </w:r>
      <w:r>
        <w:t xml:space="preserve">2030</w:t>
      </w:r>
    </w:p>
    <w:bookmarkStart w:id="32" w:name="X99dfcfdb3b47ed9e82a0c3856d984ce3c6c2283"/>
    <w:p>
      <w:pPr>
        <w:pStyle w:val="Heading1"/>
      </w:pPr>
      <w:r>
        <w:t xml:space="preserve">Case Study: The Strategic Role of the Mathematician in Qatar Doha's Vision 2030</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Integrating Advanced Mathematical Expertise into National Development Strategies</w:t>
      </w:r>
      <w:r>
        <w:br/>
      </w:r>
      <w:r>
        <w:rPr>
          <w:bCs/>
          <w:b/>
        </w:rPr>
        <w:t xml:space="preserve">Jurisdiction Focus:</w:t>
      </w:r>
      <w:r>
        <w:t xml:space="preserve"> </w:t>
      </w:r>
      <w:r>
        <w:t xml:space="preserve">Qatar Doha</w:t>
      </w:r>
    </w:p>
    <w:bookmarkStart w:id="20" w:name="executive-summary"/>
    <w:p>
      <w:pPr>
        <w:pStyle w:val="Heading2"/>
      </w:pPr>
      <w:r>
        <w:t xml:space="preserve">1. Executive Summary</w:t>
      </w:r>
    </w:p>
    <w:p>
      <w:pPr>
        <w:pStyle w:val="FirstParagraph"/>
      </w:pPr>
      <w:r>
        <w:t xml:space="preserve">This case study examines the critical and evolving role of the mathematician within the socio-economic framework of Qatar Doha. As a small nation with vast natural resources, Qatar has undertaken one of the most rapid and ambitious development trajectories in modern history. The central thesis of this document is that mathematical expertise is not merely a supporting academic discipline but a foundational pillar for achieving</w:t>
      </w:r>
      <w:r>
        <w:t xml:space="preserve"> </w:t>
      </w:r>
      <w:r>
        <w:rPr>
          <w:bCs/>
          <w:b/>
        </w:rPr>
        <w:t xml:space="preserve">Qatar National Vision 2030 (QNV 2030)</w:t>
      </w:r>
      <w:r>
        <w:t xml:space="preserve">. This study analyzes how the mathematician contributes to energy optimization, urban planning in Doha, financial stability, and data science initiatives.</w:t>
      </w:r>
    </w:p>
    <w:bookmarkEnd w:id="20"/>
    <w:bookmarkStart w:id="21" w:name="X0c3b718add9c544054ca990500beb5b8e73a2b8"/>
    <w:p>
      <w:pPr>
        <w:pStyle w:val="Heading2"/>
      </w:pPr>
      <w:r>
        <w:t xml:space="preserve">2. Contextual Background: The Landscape of Qatar Doha</w:t>
      </w:r>
    </w:p>
    <w:p>
      <w:pPr>
        <w:pStyle w:val="FirstParagraph"/>
      </w:pPr>
      <w:r>
        <w:rPr>
          <w:bCs/>
          <w:b/>
        </w:rPr>
        <w:t xml:space="preserve">Qatar Doha</w:t>
      </w:r>
      <w:r>
        <w:t xml:space="preserve">, the capital city and economic hub of the State of Qatar, serves as a global gateway for trade, logistics, and finance in the Middle East. Following the infrastructure boom associated with hosting major international events such as FIFA World Cup 2022 and various diplomatic summits, Doha has shifted its focus toward knowledge-based economy initiatives. The city is characterized by high-density urbanization, smart city technologies (such as Lusail City), and a heavy reliance on data-driven decision-making.</w:t>
      </w:r>
    </w:p>
    <w:p>
      <w:pPr>
        <w:pStyle w:val="BodyText"/>
      </w:pPr>
      <w:r>
        <w:t xml:space="preserve">In this context, the demand for rigorous analytical capabilities has surged. The government recognizes that sustainable growth cannot rely solely on hydrocarbon exports but must be underpinned by scientific rigor, predictive modeling, and efficient resource allocation—domains where the mathematician excels.</w:t>
      </w:r>
    </w:p>
    <w:bookmarkEnd w:id="21"/>
    <w:bookmarkStart w:id="22" w:name="problem-statement"/>
    <w:p>
      <w:pPr>
        <w:pStyle w:val="Heading2"/>
      </w:pPr>
      <w:r>
        <w:t xml:space="preserve">3. Problem Statement</w:t>
      </w:r>
    </w:p>
    <w:p>
      <w:pPr>
        <w:pStyle w:val="FirstParagraph"/>
      </w:pPr>
      <w:r>
        <w:t xml:space="preserve">The primary challenge facing modern Doha is balancing rapid urban expansion with sustainability goals. Key problems include:</w:t>
      </w:r>
    </w:p>
    <w:p>
      <w:pPr>
        <w:pStyle w:val="BodyText"/>
      </w:pPr>
      <w:r>
        <w:rPr>
          <w:bCs/>
          <w:b/>
        </w:rPr>
        <w:t xml:space="preserve">Efficiency in Energy Consumption:</w:t>
      </w:r>
      <w:r>
        <w:t xml:space="preserve"> </w:t>
      </w:r>
      <w:r>
        <w:t xml:space="preserve">As a major LNG exporter, Qatar must also optimize its domestic energy usage and grid stability.</w:t>
      </w:r>
    </w:p>
    <w:p>
      <w:pPr>
        <w:pStyle w:val="BodyText"/>
      </w:pPr>
      <w:r>
        <w:rPr>
          <w:bCs/>
          <w:b/>
        </w:rPr>
        <w:t xml:space="preserve">Traffic and Urban Mobility:</w:t>
      </w:r>
      <w:r>
        <w:t xml:space="preserve"> </w:t>
      </w:r>
      <w:r>
        <w:t xml:space="preserve">Managing traffic flow in a rapidly growing metropolis requires complex logistical modeling.</w:t>
      </w:r>
    </w:p>
    <w:p>
      <w:pPr>
        <w:pStyle w:val="BodyText"/>
      </w:pPr>
      <w:r>
        <w:rPr>
          <w:bCs/>
          <w:b/>
        </w:rPr>
        <w:t xml:space="preserve">Data Privacy and Security:</w:t>
      </w:r>
      <w:r>
        <w:t xml:space="preserve"> </w:t>
      </w:r>
      <w:r>
        <w:t xml:space="preserve">With the digitization of government services (e-government), cryptographic security is paramount.</w:t>
      </w:r>
    </w:p>
    <w:p>
      <w:pPr>
        <w:pStyle w:val="BodyText"/>
      </w:pPr>
      <w:r>
        <w:rPr>
          <w:bCs/>
          <w:b/>
        </w:rPr>
        <w:t xml:space="preserve">Economic Diversification:</w:t>
      </w:r>
    </w:p>
    <w:bookmarkEnd w:id="22"/>
    <w:bookmarkStart w:id="27" w:name="the-role-of-the-mathematician"/>
    <w:p>
      <w:pPr>
        <w:pStyle w:val="Heading2"/>
      </w:pPr>
      <w:r>
        <w:t xml:space="preserve">4. The Role of the Mathematician</w:t>
      </w:r>
    </w:p>
    <w:p>
      <w:pPr>
        <w:pStyle w:val="FirstParagraph"/>
      </w:pPr>
      <w:r>
        <w:t xml:space="preserve">The mathematician in this case study is defined not just as an academic researcher but as a professional applied scientist working within government agencies, private corporations, and research institutions like Qatar Foundation. Their role transcends traditional calculation; it involves abstraction, pattern recognition, and solution architecture.</w:t>
      </w:r>
    </w:p>
    <w:bookmarkStart w:id="23" w:name="applied-analysis-in-urban-planning"/>
    <w:p>
      <w:pPr>
        <w:pStyle w:val="Heading3"/>
      </w:pPr>
      <w:r>
        <w:t xml:space="preserve">4.1 Applied Analysis in Urban Planning</w:t>
      </w:r>
    </w:p>
    <w:p>
      <w:pPr>
        <w:pStyle w:val="FirstParagraph"/>
      </w:pPr>
      <w:r>
        <w:t xml:space="preserve">In Doha’s urban development projects, mathematicians utilize graph theory and topology to design efficient road networks and public transport systems. For instance, modeling the connectivity of the Doha Metro requires complex combinatorial optimization to ensure minimal transfer times for passengers while maximizing capacity. The mathematician collaborates with civil engineers to simulate traffic patterns using differential equations, allowing city planners in</w:t>
      </w:r>
      <w:r>
        <w:t xml:space="preserve"> </w:t>
      </w:r>
      <w:r>
        <w:rPr>
          <w:bCs/>
          <w:b/>
        </w:rPr>
        <w:t xml:space="preserve">Qatar Doha</w:t>
      </w:r>
      <w:r>
        <w:t xml:space="preserve"> </w:t>
      </w:r>
      <w:r>
        <w:t xml:space="preserve">to predict congestion points before infrastructure is built.</w:t>
      </w:r>
    </w:p>
    <w:bookmarkEnd w:id="23"/>
    <w:bookmarkStart w:id="24" w:name="cryptography-and-cybersecurity"/>
    <w:p>
      <w:pPr>
        <w:pStyle w:val="Heading3"/>
      </w:pPr>
      <w:r>
        <w:t xml:space="preserve">4.2 Cryptography and Cybersecurity</w:t>
      </w:r>
    </w:p>
    <w:p>
      <w:pPr>
        <w:pStyle w:val="FirstParagraph"/>
      </w:pPr>
      <w:r>
        <w:t xml:space="preserve">The digital transformation of the Qatari government necessitates advanced cybersecurity measures. Number theorists and cryptographers are essential in developing encryption protocols that protect national data infrastructure. As Doha becomes a hub for fintech and digital banking, the mathematician ensures the integrity of transactions through elliptic curve cryptography and prime number theory, safeguarding both state secrets and citizen privacy.</w:t>
      </w:r>
    </w:p>
    <w:bookmarkEnd w:id="24"/>
    <w:bookmarkStart w:id="25" w:name="energy-optimization-and-fluid-dynamics"/>
    <w:p>
      <w:pPr>
        <w:pStyle w:val="Heading3"/>
      </w:pPr>
      <w:r>
        <w:t xml:space="preserve">4.3 Energy Optimization and Fluid Dynamics</w:t>
      </w:r>
    </w:p>
    <w:p>
      <w:pPr>
        <w:pStyle w:val="FirstParagraph"/>
      </w:pPr>
      <w:r>
        <w:t xml:space="preserve">Leveraging its position as a global LNG leader, Qatar relies on mathematicians to model fluid dynamics for extraction and liquefaction processes. Partial differential equations are used to simulate gas flow in pipelines under extreme pressures and temperatures. This mathematical modeling allows engineers to improve efficiency, reduce waste, and enhance safety standards in the energy sector, directly contributing to Qatar’s economic resilience.</w:t>
      </w:r>
    </w:p>
    <w:bookmarkEnd w:id="25"/>
    <w:bookmarkStart w:id="26" w:name="financial-modeling"/>
    <w:p>
      <w:pPr>
        <w:pStyle w:val="Heading3"/>
      </w:pPr>
      <w:r>
        <w:t xml:space="preserve">4.4 Financial Modeling</w:t>
      </w:r>
    </w:p>
    <w:p>
      <w:pPr>
        <w:pStyle w:val="FirstParagraph"/>
      </w:pPr>
      <w:r>
        <w:t xml:space="preserve">The Qatar Financial Centre (QFC) hosts numerous international banks and investment firms. Quantitative analysts (quants), who are essentially applied mathematicians, develop stochastic models to manage risk in volatile global markets. These professionals use Monte Carlo simulations and Brownian motion models to advise on investment strategies for the Qatar Investment Authority, ensuring the long-term stability of the nation’s wealth.</w:t>
      </w:r>
    </w:p>
    <w:bookmarkEnd w:id="26"/>
    <w:bookmarkEnd w:id="27"/>
    <w:bookmarkStart w:id="28" w:name="institutional-support-qatar-foundation"/>
    <w:p>
      <w:pPr>
        <w:pStyle w:val="Heading2"/>
      </w:pPr>
      <w:r>
        <w:t xml:space="preserve">5. Institutional Support: Qatar Foundation</w:t>
      </w:r>
    </w:p>
    <w:p>
      <w:pPr>
        <w:pStyle w:val="FirstParagraph"/>
      </w:pPr>
      <w:r>
        <w:t xml:space="preserve">A crucial aspect of this case study is the role of</w:t>
      </w:r>
      <w:r>
        <w:t xml:space="preserve"> </w:t>
      </w:r>
      <w:r>
        <w:rPr>
          <w:bCs/>
          <w:b/>
        </w:rPr>
        <w:t xml:space="preserve">Qatar Foundation for Education, Science and Community Development</w:t>
      </w:r>
      <w:r>
        <w:t xml:space="preserve">. The foundation has established a robust ecosystem that supports mathematicians through:</w:t>
      </w:r>
    </w:p>
    <w:p>
      <w:pPr>
        <w:pStyle w:val="BodyText"/>
      </w:pPr>
      <w:r>
        <w:rPr>
          <w:bCs/>
          <w:b/>
        </w:rPr>
        <w:t xml:space="preserve">Education:</w:t>
      </w:r>
      <w:r>
        <w:t xml:space="preserve"> </w:t>
      </w:r>
      <w:r>
        <w:t xml:space="preserve">Programs at Qatar University and branch campuses (such as Carnegie Mellon in Qatar) that produce locally trained mathematical talent.</w:t>
      </w:r>
    </w:p>
    <w:p>
      <w:pPr>
        <w:pStyle w:val="BodyText"/>
      </w:pPr>
      <w:r>
        <w:rPr>
          <w:bCs/>
          <w:b/>
        </w:rPr>
        <w:t xml:space="preserve">Research Centers:</w:t>
      </w:r>
      <w:r>
        <w:t xml:space="preserve"> </w:t>
      </w:r>
      <w:r>
        <w:t xml:space="preserve">Initiatives like the Data Science Research Center, which applies statistical methods to social and economic data relevant to Doha.</w:t>
      </w:r>
    </w:p>
    <w:p>
      <w:pPr>
        <w:pStyle w:val="BodyText"/>
      </w:pPr>
      <w:r>
        <w:rPr>
          <w:bCs/>
          <w:b/>
        </w:rPr>
        <w:t xml:space="preserve">Collaboration:</w:t>
      </w:r>
      <w:r>
        <w:t xml:space="preserve"> </w:t>
      </w:r>
      <w:r>
        <w:t xml:space="preserve">Partnerships between academic mathematicians and industry leaders in energy, finance, and healthcare.</w:t>
      </w:r>
    </w:p>
    <w:bookmarkEnd w:id="28"/>
    <w:bookmarkStart w:id="29" w:name="challenges"/>
    <w:p>
      <w:pPr>
        <w:pStyle w:val="Heading2"/>
      </w:pPr>
      <w:r>
        <w:t xml:space="preserve">6. Challenges</w:t>
      </w:r>
    </w:p>
    <w:p>
      <w:pPr>
        <w:pStyle w:val="FirstParagraph"/>
      </w:pPr>
      <w:r>
        <w:t xml:space="preserve">Despite the progress, several challenges persist for the mathematician in Qatar Doha:</w:t>
      </w:r>
    </w:p>
    <w:p>
      <w:pPr>
        <w:numPr>
          <w:ilvl w:val="0"/>
          <w:numId w:val="1001"/>
        </w:numPr>
        <w:pStyle w:val="Compact"/>
      </w:pPr>
      <w:r>
        <w:rPr>
          <w:bCs/>
          <w:b/>
        </w:rPr>
        <w:t xml:space="preserve">Talent Retention:</w:t>
      </w:r>
    </w:p>
    <w:p>
      <w:pPr>
        <w:numPr>
          <w:ilvl w:val="0"/>
          <w:numId w:val="1001"/>
        </w:numPr>
        <w:pStyle w:val="Compact"/>
      </w:pPr>
      <w:r>
        <w:t xml:space="preserve">Bridging Theory and Practice:</w:t>
      </w:r>
    </w:p>
    <w:bookmarkEnd w:id="29"/>
    <w:bookmarkStart w:id="30" w:name="recommendations"/>
    <w:p>
      <w:pPr>
        <w:pStyle w:val="Heading2"/>
      </w:pPr>
      <w:r>
        <w:t xml:space="preserve">7. Recommendations</w:t>
      </w:r>
    </w:p>
    <w:p>
      <w:pPr>
        <w:pStyle w:val="FirstParagraph"/>
      </w:pPr>
      <w:r>
        <w:t xml:space="preserve">To fully leverage the potential of the mathematician in</w:t>
      </w:r>
      <w:r>
        <w:t xml:space="preserve"> </w:t>
      </w:r>
      <w:r>
        <w:rPr>
          <w:bCs/>
          <w:b/>
        </w:rPr>
        <w:t xml:space="preserve">Qatar Doha</w:t>
      </w:r>
      <w:r>
        <w:t xml:space="preserve">, this case study recommends:</w:t>
      </w:r>
    </w:p>
    <w:p>
      <w:pPr>
        <w:numPr>
          <w:ilvl w:val="0"/>
          <w:numId w:val="1002"/>
        </w:numPr>
        <w:pStyle w:val="Compact"/>
      </w:pPr>
      <w:r>
        <w:rPr>
          <w:bCs/>
          <w:b/>
        </w:rPr>
        <w:t xml:space="preserve">Incentivize Interdisciplinary Work:</w:t>
      </w:r>
    </w:p>
    <w:p>
      <w:pPr>
        <w:numPr>
          <w:ilvl w:val="0"/>
          <w:numId w:val="1002"/>
        </w:numPr>
        <w:pStyle w:val="Compact"/>
      </w:pPr>
      <w:r>
        <w:t xml:space="preserve">Enhance Public Awareness:</w:t>
      </w:r>
    </w:p>
    <w:bookmarkEnd w:id="30"/>
    <w:bookmarkStart w:id="31" w:name="conclusion"/>
    <w:p>
      <w:pPr>
        <w:pStyle w:val="Heading2"/>
      </w:pPr>
      <w:r>
        <w:t xml:space="preserve">8. Conclusion</w:t>
      </w:r>
    </w:p>
    <w:p>
      <w:pPr>
        <w:pStyle w:val="FirstParagraph"/>
      </w:pPr>
      <w:r>
        <w:t xml:space="preserve">The case study demonstrates that the mathematician is an indispensable asset to the development of</w:t>
      </w:r>
      <w:r>
        <w:t xml:space="preserve"> </w:t>
      </w:r>
      <w:r>
        <w:rPr>
          <w:bCs/>
          <w:b/>
        </w:rPr>
        <w:t xml:space="preserve">Qatar Doha</w:t>
      </w:r>
      <w:r>
        <w:t xml:space="preserve">. From optimizing the energy sector that drives the economy to securing digital infrastructure and planning sustainable cities, mathematical expertise underpins every major national initiative. As Qatar moves deeper into its Vision 2030 phase, focusing on human capital development, investing in mathematical talent is not just an academic endeavor but a strategic imperative for national prosperity.</w:t>
      </w:r>
    </w:p>
    <w:p>
      <w:pPr>
        <w:pStyle w:val="BodyText"/>
      </w:pPr>
      <w:r>
        <w:rPr>
          <w:bCs/>
          <w:b/>
        </w:rPr>
        <w:t xml:space="preserve">Final Note:</w:t>
      </w:r>
      <w:r>
        <w:t xml:space="preserve"> </w:t>
      </w:r>
      <w:r>
        <w:t xml:space="preserve">The integration of advanced mathematics into the fabric of society in Qatar Doha serves as a model for how small nations can leverage intellectual capital to achieve global competitiveness.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Mathematician in Qatar Doha's Vision 2030</dc:title>
  <dc:creator/>
  <dc:language>en</dc:language>
  <cp:keywords/>
  <dcterms:created xsi:type="dcterms:W3CDTF">2026-07-29T07:08:11Z</dcterms:created>
  <dcterms:modified xsi:type="dcterms:W3CDTF">2026-07-29T07:08:11Z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