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Medical</w:t>
      </w:r>
      <w:r>
        <w:t xml:space="preserve"> </w:t>
      </w:r>
      <w:r>
        <w:t xml:space="preserve">Research</w:t>
      </w:r>
      <w:r>
        <w:t xml:space="preserve"> </w:t>
      </w:r>
      <w:r>
        <w:t xml:space="preserve">in</w:t>
      </w:r>
      <w:r>
        <w:t xml:space="preserve"> </w:t>
      </w:r>
      <w:r>
        <w:t xml:space="preserve">Australia</w:t>
      </w:r>
      <w:r>
        <w:t xml:space="preserve"> </w:t>
      </w:r>
      <w:r>
        <w:t xml:space="preserve">Brisbane</w:t>
      </w:r>
    </w:p>
    <w:bookmarkStart w:id="35" w:name="case-study-project-report"/>
    <w:p>
      <w:pPr>
        <w:pStyle w:val="Heading1"/>
      </w:pPr>
      <w:r>
        <w:t xml:space="preserve">CASE STUDY PROJECT REPORT</w:t>
      </w:r>
    </w:p>
    <w:p>
      <w:pPr>
        <w:pStyle w:val="FirstParagraph"/>
      </w:pPr>
      <w:r>
        <w:rPr>
          <w:bCs/>
          <w:b/>
        </w:rPr>
        <w:t xml:space="preserve">Title:</w:t>
      </w:r>
      <w:r>
        <w:br/>
      </w:r>
      <w:r>
        <w:t xml:space="preserve">Optimizing Clinical Trial Infrastructure for Complex Pathologies in the Subtropical Environment of Australia Brisbane</w:t>
      </w:r>
      <w:r>
        <w:br/>
      </w:r>
      <w:r>
        <w:br/>
      </w:r>
      <w:r>
        <w:rPr>
          <w:bCs/>
          <w:b/>
        </w:rPr>
        <w:t xml:space="preserve">Subject Focus:</w:t>
      </w:r>
      <w:r>
        <w:t xml:space="preserve"> </w:t>
      </w:r>
      <w:r>
        <w:t xml:space="preserve">Medical Researcher Role Expansion and Institutional Integration</w:t>
      </w:r>
      <w:r>
        <w:br/>
      </w:r>
      <w:r>
        <w:br/>
      </w:r>
      <w:r>
        <w:rPr>
          <w:bCs/>
          <w:b/>
        </w:rPr>
        <w:t xml:space="preserve">Geographic Context:</w:t>
      </w:r>
      <w:r>
        <w:t xml:space="preserve"> </w:t>
      </w:r>
      <w:r>
        <w:t xml:space="preserve">Australia Brisbane, Queensland</w:t>
      </w:r>
      <w:r>
        <w:br/>
      </w:r>
      <w:r>
        <w:br/>
      </w:r>
      <w:r>
        <w:rPr>
          <w:bCs/>
          <w:b/>
        </w:rPr>
        <w:t xml:space="preserve">Date:</w:t>
      </w:r>
      <w:r>
        <w:rPr>
          <w:iCs/>
          <w:i/>
        </w:rPr>
        <w:t xml:space="preserve">[Current Date]</w:t>
      </w:r>
      <w:r>
        <w:br/>
      </w:r>
    </w:p>
    <w:bookmarkStart w:id="20" w:name="executive-summary"/>
    <w:p>
      <w:pPr>
        <w:pStyle w:val="Heading2"/>
      </w:pPr>
      <w:r>
        <w:t xml:space="preserve">1. Executive Summary</w:t>
      </w:r>
    </w:p>
    <w:p>
      <w:pPr>
        <w:pStyle w:val="FirstParagraph"/>
      </w:pPr>
      <w:r>
        <w:t xml:space="preserve">This comprehensive case study examines the evolving role of the modern Medical Researcher within the vibrant and biologically diverse healthcare landscape of Australia Brisbane. As a hub for advanced medical innovation, Brisbane has emerged as a critical node in Asia-Pacific health research. This document details how Medical Researcher professionals are adapting to local epidemiological challenges, leveraging state-of-the-art facilities at major institutions such as the Queensland University of Technology (QUT) and The Prince Charles Hospital, and collaborating with the broader Australian biomedical community. The primary objective is to illustrate how strategic positioning in Australia Brisbane allows Medical Researcher teams to address unique health disparities while contributing to global scientific knowledge.</w:t>
      </w:r>
    </w:p>
    <w:bookmarkEnd w:id="20"/>
    <w:bookmarkStart w:id="23" w:name="X3ceb8a1c189c753389025679156b7dcb0ab0dbb"/>
    <w:p>
      <w:pPr>
        <w:pStyle w:val="Heading2"/>
      </w:pPr>
      <w:r>
        <w:t xml:space="preserve">2. Background and Context: The Landscape of Australia Brisbane</w:t>
      </w:r>
    </w:p>
    <w:p>
      <w:pPr>
        <w:pStyle w:val="FirstParagraph"/>
      </w:pPr>
      <w:r>
        <w:t xml:space="preserve">To understand the significance of this case study, one must first appreciate the unique characteristics of its setting. Australia Brisbane is not merely a geographic location; it is a dynamic ecosystem characterized by subtropical climate patterns, distinct demographic shifts due to internal migration, and a robust public health infrastructure. For any Medical Researcher operating in this region, these factors are not background details but active variables in their research design.</w:t>
      </w:r>
    </w:p>
    <w:bookmarkStart w:id="21" w:name="epidemiological-specifics"/>
    <w:p>
      <w:pPr>
        <w:pStyle w:val="Heading3"/>
      </w:pPr>
      <w:r>
        <w:t xml:space="preserve">2.1 Epidemiological Specifics</w:t>
      </w:r>
    </w:p>
    <w:p>
      <w:pPr>
        <w:pStyle w:val="FirstParagraph"/>
      </w:pPr>
      <w:r>
        <w:t xml:space="preserve">The population of Australia Brisbane presents specific health profiles that differ significantly from those in southern Australian cities like Melbourne or Sydney. Higher incidences of vector-borne diseases, such as dengue fever and Ross River virus, due to the subtropical climate, require specialized attention. Furthermore, rising rates of metabolic disorders linked to lifestyle changes in urban centers necessitate targeted interventions. A Medical Researcher based here must tailor their inquiry to these local realities while maintaining international standards of rigor.</w:t>
      </w:r>
    </w:p>
    <w:bookmarkEnd w:id="21"/>
    <w:bookmarkStart w:id="22" w:name="institutional-ecosystem"/>
    <w:p>
      <w:pPr>
        <w:pStyle w:val="Heading3"/>
      </w:pPr>
      <w:r>
        <w:t xml:space="preserve">2.2 Institutional Ecosystem</w:t>
      </w:r>
    </w:p>
    <w:p>
      <w:pPr>
        <w:pStyle w:val="FirstParagraph"/>
      </w:pPr>
      <w:r>
        <w:t xml:space="preserve">The research environment in Australia Brisbane is supported by a dense network of hospitals, universities, and private biotech firms. Key institutions include Royal Brisbane and Women’s Hospital (RBWH), Mater Research, and various hubs within the University of Queensland health precincts. This concentration allows for rapid translation from bench to bedside—a process known as translational research—which is a core competency expected of today’s Medical Researcher.</w:t>
      </w:r>
    </w:p>
    <w:bookmarkEnd w:id="22"/>
    <w:bookmarkEnd w:id="23"/>
    <w:bookmarkStart w:id="25" w:name="X5df2a001076c9fe50e9686f7a6d365199581b60"/>
    <w:p>
      <w:pPr>
        <w:pStyle w:val="Heading2"/>
      </w:pPr>
      <w:r>
        <w:t xml:space="preserve">3. Profile: The Role of the Medical Researcher</w:t>
      </w:r>
    </w:p>
    <w:p>
      <w:pPr>
        <w:pStyle w:val="FirstParagraph"/>
      </w:pPr>
      <w:r>
        <w:t xml:space="preserve">In this case study, we define the "Medical Researcher" not just as an academic, but as a multifaceted professional involved in clinical trials, data analysis, ethical compliance, and community engagement. The role has expanded beyond traditional laboratory work to include interdisciplinary collaboration.</w:t>
      </w:r>
    </w:p>
    <w:bookmarkStart w:id="24" w:name="core-responsibilities"/>
    <w:p>
      <w:pPr>
        <w:pStyle w:val="Heading3"/>
      </w:pPr>
      <w:r>
        <w:t xml:space="preserve">3.1 Core Responsibilities</w:t>
      </w:r>
    </w:p>
    <w:p>
      <w:pPr>
        <w:numPr>
          <w:ilvl w:val="0"/>
          <w:numId w:val="1001"/>
        </w:numPr>
        <w:pStyle w:val="Compact"/>
      </w:pPr>
      <w:r>
        <w:rPr>
          <w:bCs/>
          <w:b/>
        </w:rPr>
        <w:t xml:space="preserve">Clinical Trial Management:</w:t>
      </w:r>
      <w:r>
        <w:t xml:space="preserve"> </w:t>
      </w:r>
      <w:r>
        <w:t xml:space="preserve">Designing protocols that account for patient diversity within Australia Brisbane, ensuring recruitment strategies are culturally sensitive and effective across various socioeconomic groups.</w:t>
      </w:r>
    </w:p>
    <w:p>
      <w:pPr>
        <w:numPr>
          <w:ilvl w:val="0"/>
          <w:numId w:val="1001"/>
        </w:numPr>
        <w:pStyle w:val="Compact"/>
      </w:pPr>
      <w:r>
        <w:t xml:space="preserve">Data Integrity and Ethics:Navigating the complex ethical frameworks mandated by the National Health and Medical Research Council (NHMRC) of Australia. A Medical Researcher must ensure that all studies conducted in Australia Brisbane adhere to strict privacy laws and ethical guidelines regarding human subject protection.</w:t>
      </w:r>
    </w:p>
    <w:p>
      <w:pPr>
        <w:numPr>
          <w:ilvl w:val="0"/>
          <w:numId w:val="1001"/>
        </w:numPr>
        <w:pStyle w:val="Compact"/>
      </w:pPr>
      <w:r>
        <w:rPr>
          <w:bCs/>
          <w:b/>
        </w:rPr>
        <w:t xml:space="preserve">Grant Acquisition:</w:t>
      </w:r>
      <w:r>
        <w:t xml:space="preserve"> </w:t>
      </w:r>
      <w:r>
        <w:t xml:space="preserve">Securing funding from bodies such as the Australian Research Council (ARC) and medical charities specific to Queensland health issues.</w:t>
      </w:r>
    </w:p>
    <w:bookmarkEnd w:id="24"/>
    <w:bookmarkEnd w:id="25"/>
    <w:bookmarkStart w:id="29" w:name="X8c1f4458b9cacf5d4f37f6fc9b1d7f2b6ff0a5d"/>
    <w:p>
      <w:pPr>
        <w:pStyle w:val="Heading2"/>
      </w:pPr>
      <w:r>
        <w:t xml:space="preserve">4. Case Scenario: Addressing Tropical Infectious Diseases</w:t>
      </w:r>
    </w:p>
    <w:p>
      <w:pPr>
        <w:pStyle w:val="FirstParagraph"/>
      </w:pPr>
      <w:r>
        <w:t xml:space="preserve">This section illustrates a hypothetical but realistic scenario involving a Medical Researcher team operating out of Australia Brisbane. The project focuses on early detection methods for emerging infectious diseases prevalent in subtropical zones.</w:t>
      </w:r>
    </w:p>
    <w:bookmarkStart w:id="26" w:name="the-challenge"/>
    <w:p>
      <w:pPr>
        <w:pStyle w:val="Heading3"/>
      </w:pPr>
      <w:r>
        <w:t xml:space="preserve">4.1 The Challenge</w:t>
      </w:r>
    </w:p>
    <w:p>
      <w:pPr>
        <w:pStyle w:val="FirstParagraph"/>
      </w:pPr>
      <w:r>
        <w:t xml:space="preserve">A Medical Researcher based at a major Brisbane institute identified gaps in current diagnostic tools for dengue fever, which sees seasonal outbreaks in Queensland. Existing tests often failed to distinguish between different serotypes during the critical early stages of infection, leading to mismanagement and increased severity of symptoms. The challenge was to develop a rapid, point-of-care diagnostic kit that could be deployed in rural clinics surrounding Australia Brisbane.</w:t>
      </w:r>
    </w:p>
    <w:bookmarkEnd w:id="26"/>
    <w:bookmarkStart w:id="27" w:name="the-methodology"/>
    <w:p>
      <w:pPr>
        <w:pStyle w:val="Heading3"/>
      </w:pPr>
      <w:r>
        <w:t xml:space="preserve">4.2 The Methodology</w:t>
      </w:r>
    </w:p>
    <w:p>
      <w:pPr>
        <w:pStyle w:val="FirstParagraph"/>
      </w:pPr>
      <w:r>
        <w:t xml:space="preserve">The Medical Researcher initiated a multi-phase study:</w:t>
      </w:r>
    </w:p>
    <w:p>
      <w:pPr>
        <w:numPr>
          <w:ilvl w:val="0"/>
          <w:numId w:val="1002"/>
        </w:numPr>
        <w:pStyle w:val="Compact"/>
      </w:pPr>
      <w:r>
        <w:rPr>
          <w:bCs/>
          <w:b/>
        </w:rPr>
        <w:t xml:space="preserve">Literature Review and Collaboration:</w:t>
      </w:r>
      <w:r>
        <w:br/>
      </w:r>
      <w:r>
        <w:t xml:space="preserve">The team collaborated with virologists at the University of Queensland to analyze local viral strains. This collaboration highlighted the importance of regional data, proving that global models did not always apply accurately to pathogens circulating in Australia Brisbane.</w:t>
      </w:r>
    </w:p>
    <w:p>
      <w:pPr>
        <w:numPr>
          <w:ilvl w:val="0"/>
          <w:numId w:val="1002"/>
        </w:numPr>
        <w:pStyle w:val="Compact"/>
      </w:pPr>
      <w:r>
        <w:rPr>
          <w:bCs/>
          <w:b/>
        </w:rPr>
        <w:t xml:space="preserve">Clinical Sampling:</w:t>
      </w:r>
      <w:r>
        <w:br/>
      </w:r>
      <w:r>
        <w:t xml:space="preserve">Patients from various clinics across Greater Brisbane provided blood samples. The Medical Researcher ensured informed consent was obtained with clear communication strategies tailored to diverse cultural backgrounds, including indigenous communities who may have specific health beliefs.</w:t>
      </w:r>
    </w:p>
    <w:p>
      <w:pPr>
        <w:numPr>
          <w:ilvl w:val="0"/>
          <w:numId w:val="1002"/>
        </w:numPr>
        <w:pStyle w:val="Compact"/>
      </w:pPr>
      <w:r>
        <w:rPr>
          <w:bCs/>
          <w:b/>
        </w:rPr>
        <w:t xml:space="preserve">Prototyping and Testing:</w:t>
      </w:r>
      <w:r>
        <w:br/>
      </w:r>
      <w:r>
        <w:t xml:space="preserve">Using microfluidic technology, the team developed a prototype sensor. Rigorous testing was conducted in controlled lab settings before moving to pilot clinical trials in partnership with local GPs.</w:t>
      </w:r>
    </w:p>
    <w:bookmarkEnd w:id="27"/>
    <w:bookmarkStart w:id="28" w:name="implementation-in-australia-brisbane"/>
    <w:p>
      <w:pPr>
        <w:pStyle w:val="Heading3"/>
      </w:pPr>
      <w:r>
        <w:t xml:space="preserve">4.3 Implementation in Australia Brisbane</w:t>
      </w:r>
    </w:p>
    <w:p>
      <w:pPr>
        <w:pStyle w:val="FirstParagraph"/>
      </w:pPr>
      <w:r>
        <w:t xml:space="preserve">The deployment phase faced logistical challenges typical of the region, including high humidity affecting equipment calibration and transportation delays during cyclone season. However, the Medical Researcher adapted by using locally sourced materials for device casing and establishing backup storage facilities with climate control at partner hospitals. This adaptability is a hallmark of successful research operations in this geographic context.</w:t>
      </w:r>
    </w:p>
    <w:bookmarkEnd w:id="28"/>
    <w:bookmarkEnd w:id="29"/>
    <w:bookmarkStart w:id="30" w:name="outcomes-and-impact"/>
    <w:p>
      <w:pPr>
        <w:pStyle w:val="Heading2"/>
      </w:pPr>
      <w:r>
        <w:t xml:space="preserve">5. Outcomes and Impact</w:t>
      </w:r>
    </w:p>
    <w:p>
      <w:pPr>
        <w:pStyle w:val="FirstParagraph"/>
      </w:pPr>
      <w:r>
        <w:t xml:space="preserve">The project yielded significant results, directly benefiting the healthcare infrastructure of Australia Brisbane.</w:t>
      </w:r>
    </w:p>
    <w:p>
      <w:pPr>
        <w:numPr>
          <w:ilvl w:val="0"/>
          <w:numId w:val="1003"/>
        </w:numPr>
        <w:pStyle w:val="Compact"/>
      </w:pPr>
      <w:r>
        <w:rPr>
          <w:bCs/>
          <w:b/>
        </w:rPr>
        <w:t xml:space="preserve">Efficacy:</w:t>
      </w:r>
      <w:r>
        <w:br/>
      </w:r>
      <w:r>
        <w:t xml:space="preserve">The new diagnostic tool achieved a 95% sensitivity rate in distinguishing serotypes within the first 24 hours of symptom onset, outperforming standard tests by a margin of 15%.</w:t>
      </w:r>
    </w:p>
    <w:p>
      <w:pPr>
        <w:numPr>
          <w:ilvl w:val="0"/>
          <w:numId w:val="1003"/>
        </w:numPr>
        <w:pStyle w:val="Compact"/>
      </w:pPr>
      <w:r>
        <w:rPr>
          <w:bCs/>
          <w:b/>
        </w:rPr>
        <w:t xml:space="preserve">Public Health Improvement:</w:t>
      </w:r>
      <w:r>
        <w:br/>
      </w:r>
      <w:r>
        <w:t xml:space="preserve">Early detection led to faster treatment initiation, reducing hospital admissions for severe cases by an estimated 20% in the pilot zones. This reduction alleviated pressure on Emergency Departments in major hospitals across Brisbane.</w:t>
      </w:r>
    </w:p>
    <w:p>
      <w:pPr>
        <w:numPr>
          <w:ilvl w:val="0"/>
          <w:numId w:val="1003"/>
        </w:numPr>
        <w:pStyle w:val="Compact"/>
      </w:pPr>
      <w:r>
        <w:rPr>
          <w:bCs/>
          <w:b/>
        </w:rPr>
        <w:t xml:space="preserve">Economic Benefit:</w:t>
      </w:r>
      <w:r>
        <w:br/>
      </w:r>
      <w:r>
        <w:t xml:space="preserve">By enabling earlier outpatient management, the program reduced the economic burden on Medicare and private health insurers. The Medical Researcher’s work contributed to a cost-benefit analysis that highlighted long-term savings for the Queensland health system.</w:t>
      </w:r>
    </w:p>
    <w:p>
      <w:pPr>
        <w:numPr>
          <w:ilvl w:val="0"/>
          <w:numId w:val="1003"/>
        </w:numPr>
        <w:pStyle w:val="Compact"/>
      </w:pPr>
      <w:r>
        <w:rPr>
          <w:bCs/>
          <w:b/>
        </w:rPr>
        <w:t xml:space="preserve">Knowledge Dissemination:</w:t>
      </w:r>
      <w:r>
        <w:br/>
      </w:r>
      <w:r>
        <w:t xml:space="preserve">Findings were published in high-impact journals, positioning Australia Brisbane as a leader in tropical medicine research. The Medical Researcher presented these findings at international conferences, enhancing the global reputation of local institutions.</w:t>
      </w:r>
    </w:p>
    <w:bookmarkEnd w:id="30"/>
    <w:bookmarkStart w:id="31" w:name="challenges-and-lessons-learned"/>
    <w:p>
      <w:pPr>
        <w:pStyle w:val="Heading2"/>
      </w:pPr>
      <w:r>
        <w:t xml:space="preserve">6. Challenges and Lessons Learned</w:t>
      </w:r>
    </w:p>
    <w:p>
      <w:pPr>
        <w:pStyle w:val="FirstParagraph"/>
      </w:pPr>
      <w:r>
        <w:t xml:space="preserve">The journey was not without obstacles. The Medical Researcher encountered several hurdles that provided valuable lessons:</w:t>
      </w:r>
    </w:p>
    <w:p>
      <w:pPr>
        <w:numPr>
          <w:ilvl w:val="0"/>
          <w:numId w:val="1004"/>
        </w:numPr>
        <w:pStyle w:val="Compact"/>
      </w:pPr>
      <w:r>
        <w:rPr>
          <w:bCs/>
          <w:b/>
        </w:rPr>
        <w:t xml:space="preserve">Funding Volatility:</w:t>
      </w:r>
      <w:r>
        <w:br/>
      </w:r>
      <w:r>
        <w:t xml:space="preserve">Securing long-term funding for niche areas like tropical diagnostics can be difficult. The Medical Researcher learned the importance of diversifying funding sources, combining government grants with private industry partnerships.</w:t>
      </w:r>
    </w:p>
    <w:p>
      <w:pPr>
        <w:numPr>
          <w:ilvl w:val="0"/>
          <w:numId w:val="1004"/>
        </w:numPr>
        <w:pStyle w:val="Compact"/>
      </w:pPr>
      <w:r>
        <w:rPr>
          <w:bCs/>
          <w:b/>
        </w:rPr>
        <w:t xml:space="preserve">Community Trust:</w:t>
      </w:r>
      <w:r>
        <w:br/>
      </w:r>
      <w:r>
        <w:t xml:space="preserve">Initial reluctance from certain community groups to participate in clinical trials required dedicated engagement efforts. Building trust is essential for any Medical Researcher working within the diverse population of Australia Brisbane.</w:t>
      </w:r>
    </w:p>
    <w:p>
      <w:pPr>
        <w:numPr>
          <w:ilvl w:val="0"/>
          <w:numId w:val="1004"/>
        </w:numPr>
        <w:pStyle w:val="Compact"/>
      </w:pPr>
      <w:r>
        <w:rPr>
          <w:bCs/>
          <w:b/>
        </w:rPr>
        <w:t xml:space="preserve">Regulatory Navigation:</w:t>
      </w:r>
      <w:r>
        <w:br/>
      </w:r>
      <w:r>
        <w:t xml:space="preserve">The approval process through Human Research Ethics Committees (HRECs) can be time-consuming. Proactive communication with ethics boards helped streamline subsequent phases of the study.</w:t>
      </w:r>
    </w:p>
    <w:bookmarkEnd w:id="31"/>
    <w:bookmarkStart w:id="32" w:name="X43e4a9f4f98ee06af94a91eca54112ff8a36053"/>
    <w:p>
      <w:pPr>
        <w:pStyle w:val="Heading2"/>
      </w:pPr>
      <w:r>
        <w:t xml:space="preserve">7. Future Directions for Medical Researcher in Australia Brisbane</w:t>
      </w:r>
    </w:p>
    <w:p>
      <w:pPr>
        <w:pStyle w:val="FirstParagraph"/>
      </w:pPr>
      <w:r>
        <w:t xml:space="preserve">The success of this case study underscores several key trends for the future:</w:t>
      </w:r>
    </w:p>
    <w:p>
      <w:pPr>
        <w:numPr>
          <w:ilvl w:val="0"/>
          <w:numId w:val="1005"/>
        </w:numPr>
        <w:pStyle w:val="Compact"/>
      </w:pPr>
      <w:r>
        <w:rPr>
          <w:bCs/>
          <w:b/>
        </w:rPr>
        <w:t xml:space="preserve">Digital Health Integration:</w:t>
      </w:r>
      <w:r>
        <w:br/>
      </w:r>
      <w:r>
        <w:t xml:space="preserve">Medical Researcher will increasingly rely on digital platforms to monitor patient outcomes remotely, reducing the need for frequent hospital visits. Telehealth infrastructure is expanding rapidly in Australia Brisbane.</w:t>
      </w:r>
    </w:p>
    <w:p>
      <w:pPr>
        <w:numPr>
          <w:ilvl w:val="0"/>
          <w:numId w:val="1005"/>
        </w:numPr>
        <w:pStyle w:val="Compact"/>
      </w:pPr>
      <w:r>
        <w:rPr>
          <w:bCs/>
          <w:b/>
        </w:rPr>
        <w:t xml:space="preserve">Personalized Medicine:</w:t>
      </w:r>
      <w:r>
        <w:br/>
      </w:r>
      <w:r>
        <w:t xml:space="preserve">With access to large genomic datasets from the Queensland population, Medical Researcher can tailor treatments based on genetic predispositions prevalent in specific communities.</w:t>
      </w:r>
    </w:p>
    <w:p>
      <w:pPr>
        <w:numPr>
          <w:ilvl w:val="0"/>
          <w:numId w:val="1005"/>
        </w:numPr>
        <w:pStyle w:val="Compact"/>
      </w:pPr>
      <w:r>
        <w:rPr>
          <w:bCs/>
          <w:b/>
        </w:rPr>
        <w:t xml:space="preserve">Sustainability Focus:</w:t>
      </w:r>
      <w:r>
        <w:br/>
      </w:r>
      <w:r>
        <w:t xml:space="preserve">Future research projects will need to address environmental sustainability. This includes reducing the carbon footprint of clinical trials and developing medical solutions that mitigate the impacts of climate change on health in Australia Brisbane.</w:t>
      </w:r>
    </w:p>
    <w:bookmarkEnd w:id="32"/>
    <w:bookmarkStart w:id="33" w:name="conclusion"/>
    <w:p>
      <w:pPr>
        <w:pStyle w:val="Heading2"/>
      </w:pPr>
      <w:r>
        <w:t xml:space="preserve">8. Conclusion</w:t>
      </w:r>
    </w:p>
    <w:p>
      <w:pPr>
        <w:pStyle w:val="FirstParagraph"/>
      </w:pPr>
      <w:r>
        <w:t xml:space="preserve">This case study demonstrates that the role of a Medical Researcher is pivotal in driving healthcare innovation, particularly in regions with unique environmental and demographic characteristics like Australia Brisbane. By focusing on local needs while maintaining global standards, Medical Researcher professionals contribute significantly to public health outcomes. The integration of clinical practice, academic research, and community engagement creates a robust framework for addressing complex medical challenges.</w:t>
      </w:r>
    </w:p>
    <w:p>
      <w:pPr>
        <w:pStyle w:val="BodyText"/>
      </w:pPr>
      <w:r>
        <w:t xml:space="preserve">The experience outlined herein highlights that success in this field requires not only scientific expertise but also cultural competence, logistical agility, and strong collaborative networks. As Australia Brisbane continues to grow as a center for medical excellence, the Medical Researcher will remain at the forefront of discovering solutions that improve lives locally and globally.</w:t>
      </w:r>
    </w:p>
    <w:bookmarkEnd w:id="33"/>
    <w:bookmarkStart w:id="34" w:name="references"/>
    <w:p>
      <w:pPr>
        <w:pStyle w:val="Heading2"/>
      </w:pPr>
      <w:r>
        <w:t xml:space="preserve">9. References</w:t>
      </w:r>
    </w:p>
    <w:p>
      <w:pPr>
        <w:numPr>
          <w:ilvl w:val="0"/>
          <w:numId w:val="1006"/>
        </w:numPr>
        <w:pStyle w:val="Compact"/>
      </w:pPr>
      <w:r>
        <w:t xml:space="preserve">Australian Government Department of Health. (2023). National Framework for Protecting Australia’s Children.</w:t>
      </w:r>
    </w:p>
    <w:p>
      <w:pPr>
        <w:numPr>
          <w:ilvl w:val="0"/>
          <w:numId w:val="1006"/>
        </w:numPr>
        <w:pStyle w:val="Compact"/>
      </w:pPr>
      <w:r>
        <w:t xml:space="preserve">National Health and Medical Research Council (NHMRC). (2018). Australian Ethical Guidelines for Health and Medical Research.</w:t>
      </w:r>
    </w:p>
    <w:p>
      <w:pPr>
        <w:numPr>
          <w:ilvl w:val="0"/>
          <w:numId w:val="1006"/>
        </w:numPr>
        <w:pStyle w:val="Compact"/>
      </w:pPr>
      <w:r>
        <w:t xml:space="preserve">Queensland University of Technology. (2024). Annual Report on Biomedical Research Output.</w:t>
      </w:r>
    </w:p>
    <w:p>
      <w:pPr>
        <w:numPr>
          <w:ilvl w:val="0"/>
          <w:numId w:val="1006"/>
        </w:numPr>
        <w:pStyle w:val="Compact"/>
      </w:pPr>
      <w:r>
        <w:t xml:space="preserve">Royal Brisbane and Women’s Hospital Foundation. (2023). Strategic Plan for Clinical Innovation.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Medical Research in Australia Brisbane</dc:title>
  <dc:creator/>
  <dc:language>en</dc:language>
  <cp:keywords/>
  <dcterms:created xsi:type="dcterms:W3CDTF">2026-07-29T07:01:29Z</dcterms:created>
  <dcterms:modified xsi:type="dcterms:W3CDTF">2026-07-29T07:01:29Z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