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20" w:name="X0bf8b605a6a5bcdda2ac8ba7fdca43bed19acee"/>
    <w:p>
      <w:pPr>
        <w:pStyle w:val="Heading1"/>
      </w:pPr>
      <w:r>
        <w:rPr>
          <w:bCs/>
          <w:b/>
        </w:rPr>
        <w:t xml:space="preserve">Case Study Document:</w:t>
      </w:r>
      <w:r>
        <w:t xml:space="preserve"> </w:t>
      </w:r>
      <w:r>
        <w:t xml:space="preserve">The Strategic Positioning and Operational Dynamics of a Medical Researcher in Belgium, Brussels</w:t>
      </w:r>
    </w:p>
    <w:p>
      <w:pPr>
        <w:pStyle w:val="FirstParagraph"/>
      </w:pPr>
      <w:r>
        <w:rPr>
          <w:iCs/>
          <w:i/>
        </w:rPr>
        <w:t xml:space="preserve">Date: October 26, 2023</w:t>
      </w:r>
    </w:p>
    <w:p>
      <w:pPr>
        <w:pStyle w:val="BodyText"/>
      </w:pPr>
      <w:r>
        <w:rPr>
          <w:iCs/>
          <w:i/>
        </w:rPr>
        <w:t xml:space="preserve">Status: Confidential/Internal Review</w:t>
      </w:r>
    </w:p>
    <w:bookmarkEnd w:id="20"/>
    <w:bookmarkStart w:id="21" w:name="executive-summary"/>
    <w:p>
      <w:pPr>
        <w:pStyle w:val="Heading2"/>
      </w:pPr>
      <w:r>
        <w:t xml:space="preserve">1. Executive Summary</w:t>
      </w:r>
    </w:p>
    <w:p>
      <w:pPr>
        <w:pStyle w:val="FirstParagraph"/>
      </w:pPr>
      <w:r>
        <w:t xml:space="preserve">This case study examines the critical role, operational challenges, and strategic advantages associated with the position of a</w:t>
      </w:r>
      <w:r>
        <w:t xml:space="preserve"> </w:t>
      </w:r>
      <w:r>
        <w:rPr>
          <w:bCs/>
          <w:b/>
        </w:rPr>
        <w:t xml:space="preserve">Medical Researcher</w:t>
      </w:r>
      <w:r>
        <w:t xml:space="preserve">, specifically within the unique geopolitical and scientific ecosystem of</w:t>
      </w:r>
      <w:r>
        <w:t xml:space="preserve"> </w:t>
      </w:r>
      <w:r>
        <w:rPr>
          <w:bCs/>
          <w:b/>
        </w:rPr>
        <w:t xml:space="preserve">Belgium Brussels</w:t>
      </w:r>
      <w:r>
        <w:t xml:space="preserve">. As a hub for European policy-making and international healthcare innovation, Brussels offers a distinctive environment that differs significantly from traditional academic centers. This document explores how integrating high-level medical research with the policy-oriented atmosphere of Brussels creates synergies between scientific discovery and regulatory implementation.</w:t>
      </w:r>
    </w:p>
    <w:bookmarkEnd w:id="21"/>
    <w:bookmarkStart w:id="22" w:name="X97947295621b9844660baaad09feb6317d55338"/>
    <w:p>
      <w:pPr>
        <w:pStyle w:val="Heading2"/>
      </w:pPr>
      <w:r>
        <w:t xml:space="preserve">2. Introduction: The Context of Medical Researcher in Belgium</w:t>
      </w:r>
    </w:p>
    <w:p>
      <w:pPr>
        <w:pStyle w:val="FirstParagraph"/>
      </w:pPr>
      <w:r>
        <w:t xml:space="preserve">The field of medical research has evolved rapidly in recent decades, moving from purely academic inquiry toward translational medicine that bridges the gap between laboratory discoveries and clinical applications. In</w:t>
      </w:r>
      <w:r>
        <w:t xml:space="preserve"> </w:t>
      </w:r>
      <w:r>
        <w:rPr>
          <w:bCs/>
          <w:b/>
        </w:rPr>
        <w:t xml:space="preserve">Belgium Brussels</w:t>
      </w:r>
      <w:r>
        <w:t xml:space="preserve">, this transition is accelerated by the city’s status as the de facto capital of Europe. The presence of major international organizations, such as the European Medicines Agency (EMA) and various EU health committees, provides a unique platform for a</w:t>
      </w:r>
      <w:r>
        <w:t xml:space="preserve"> </w:t>
      </w:r>
      <w:r>
        <w:rPr>
          <w:bCs/>
          <w:b/>
        </w:rPr>
        <w:t xml:space="preserve">Medical Researcher</w:t>
      </w:r>
      <w:r>
        <w:t xml:space="preserve"> </w:t>
      </w:r>
      <w:r>
        <w:t xml:space="preserve">to influence not just scientific literature, but also public health policy.</w:t>
      </w:r>
    </w:p>
    <w:p>
      <w:pPr>
        <w:pStyle w:val="BodyText"/>
      </w:pPr>
      <w:r>
        <w:rPr>
          <w:bCs/>
          <w:b/>
        </w:rPr>
        <w:t xml:space="preserve">Belgium Brussels</w:t>
      </w:r>
      <w:r>
        <w:t xml:space="preserve"> </w:t>
      </w:r>
      <w:r>
        <w:t xml:space="preserve">is characterized by its multilingual environment and its dense network of universities, hospitals, and biotech startups. For a</w:t>
      </w:r>
    </w:p>
    <w:p>
      <w:pPr>
        <w:pStyle w:val="BodyText"/>
      </w:pPr>
      <w:r>
        <w:t xml:space="preserve">Medical Researcher, this means access to diverse patient populations for clinical trials and immediate feedback loops from regulatory bodies. The objective of this case study is to analyze how these factors converge to enhance the efficacy and impact of medical research initiatives.</w:t>
      </w:r>
    </w:p>
    <w:bookmarkEnd w:id="22"/>
    <w:bookmarkStart w:id="23" w:name="profile-the-medical-researcher"/>
    <w:p>
      <w:pPr>
        <w:pStyle w:val="Heading2"/>
      </w:pPr>
      <w:r>
        <w:t xml:space="preserve">3. Profile: The Medical Researcher</w:t>
      </w:r>
    </w:p>
    <w:p>
      <w:pPr>
        <w:pStyle w:val="FirstParagraph"/>
      </w:pPr>
      <w:r>
        <w:t xml:space="preserve">The subject of this case study is a senior</w:t>
      </w:r>
      <w:r>
        <w:t xml:space="preserve"> </w:t>
      </w:r>
      <w:r>
        <w:rPr>
          <w:bCs/>
          <w:b/>
        </w:rPr>
        <w:t xml:space="preserve">Medical Researcher</w:t>
      </w:r>
      <w:r>
        <w:t xml:space="preserve"> </w:t>
      </w:r>
      <w:r>
        <w:t xml:space="preserve">specializing in immunology and infectious diseases. This professional holds advanced degrees in biomedical sciences and possesses over ten years of experience in both academic institutions and pharmaceutical industry settings. The role involves designing clinical protocols, analyzing complex biological data, collaborating with interdisciplinary teams, and ensuring compliance with stringent ethical standards.</w:t>
      </w:r>
    </w:p>
    <w:p>
      <w:pPr>
        <w:pStyle w:val="BodyText"/>
      </w:pPr>
      <w:r>
        <w:t xml:space="preserve">A key attribute of the</w:t>
      </w:r>
      <w:r>
        <w:t xml:space="preserve"> </w:t>
      </w:r>
      <w:r>
        <w:rPr>
          <w:bCs/>
          <w:b/>
        </w:rPr>
        <w:t xml:space="preserve">Medical Researcher</w:t>
      </w:r>
      <w:r>
        <w:t xml:space="preserve"> </w:t>
      </w:r>
      <w:r>
        <w:t xml:space="preserve">is adaptability. Working in</w:t>
      </w:r>
      <w:r>
        <w:t xml:space="preserve"> </w:t>
      </w:r>
      <w:r>
        <w:rPr>
          <w:bCs/>
          <w:b/>
        </w:rPr>
        <w:t xml:space="preserve">Belgium Brussels</w:t>
      </w:r>
      <w:r>
        <w:t xml:space="preserve">, the researcher must navigate not only scientific complexities but also bureaucratic frameworks established by EU regulations. This dual competency—scientific rigor combined with regulatory awareness—is essential for success in this region.</w:t>
      </w:r>
    </w:p>
    <w:bookmarkEnd w:id="23"/>
    <w:bookmarkStart w:id="26" w:name="Xd8d802f5acab81ec45677b977e7047d56e0ce29"/>
    <w:p>
      <w:pPr>
        <w:pStyle w:val="Heading2"/>
      </w:pPr>
      <w:r>
        <w:t xml:space="preserve">4. The Brussels Advantage: Infrastructure and Collaboration</w:t>
      </w:r>
    </w:p>
    <w:p>
      <w:pPr>
        <w:pStyle w:val="FirstParagraph"/>
      </w:pPr>
      <w:r>
        <w:rPr>
          <w:bCs/>
          <w:b/>
        </w:rPr>
        <w:t xml:space="preserve">Belgium Brussels</w:t>
      </w:r>
      <w:r>
        <w:t xml:space="preserve"> </w:t>
      </w:r>
      <w:r>
        <w:t xml:space="preserve">offers unparalleled infrastructure for a</w:t>
      </w:r>
    </w:p>
    <w:p>
      <w:pPr>
        <w:pStyle w:val="BodyText"/>
      </w:pPr>
      <w:r>
        <w:t xml:space="preserve">Medical Researcher. The city hosts several world-class research institutes, including the Belgian Scientific Institute of Public Health (Sciensano), which serves as a central hub for epidemiological data. Furthermore, the proximity to large university hospitals allows the</w:t>
      </w:r>
      <w:r>
        <w:t xml:space="preserve"> </w:t>
      </w:r>
      <w:r>
        <w:rPr>
          <w:bCs/>
          <w:b/>
        </w:rPr>
        <w:t xml:space="preserve">Medical Researcher</w:t>
      </w:r>
      <w:r>
        <w:t xml:space="preserve"> </w:t>
      </w:r>
      <w:r>
        <w:t xml:space="preserve">to conduct patient-centric studies with robust sample sizes.</w:t>
      </w:r>
    </w:p>
    <w:bookmarkStart w:id="24" w:name="access-to-european-funding-and-networks"/>
    <w:p>
      <w:pPr>
        <w:pStyle w:val="Heading3"/>
      </w:pPr>
      <w:r>
        <w:t xml:space="preserve">4.1 Access to European Funding and Networks</w:t>
      </w:r>
    </w:p>
    <w:p>
      <w:pPr>
        <w:pStyle w:val="FirstParagraph"/>
      </w:pPr>
      <w:r>
        <w:t xml:space="preserve">The location in Brussels facilitates easier access to Horizon Europe funding and other EU-based grants. A</w:t>
      </w:r>
      <w:r>
        <w:t xml:space="preserve"> </w:t>
      </w:r>
      <w:r>
        <w:rPr>
          <w:bCs/>
          <w:b/>
        </w:rPr>
        <w:t xml:space="preserve">Medical Researcher</w:t>
      </w:r>
      <w:r>
        <w:t xml:space="preserve"> </w:t>
      </w:r>
      <w:r>
        <w:t xml:space="preserve">based here can participate in large-scale consortia involving partners from across the continent, fostering cross-border collaboration that is often difficult to achieve from more isolated research locations. This network effect accelerates the dissemination of findings and enhances the credibility of the research output.</w:t>
      </w:r>
    </w:p>
    <w:bookmarkEnd w:id="24"/>
    <w:bookmarkStart w:id="25" w:name="regulatory-proximity"/>
    <w:p>
      <w:pPr>
        <w:pStyle w:val="Heading3"/>
      </w:pPr>
      <w:r>
        <w:t xml:space="preserve">4.2 Regulatory Proximity</w:t>
      </w:r>
    </w:p>
    <w:p>
      <w:pPr>
        <w:pStyle w:val="FirstParagraph"/>
      </w:pPr>
      <w:r>
        <w:t xml:space="preserve">In traditional academic settings, researchers may struggle with the interpretation of evolving regulations. However, a</w:t>
      </w:r>
      <w:r>
        <w:t xml:space="preserve"> </w:t>
      </w:r>
      <w:r>
        <w:rPr>
          <w:bCs/>
          <w:b/>
        </w:rPr>
        <w:t xml:space="preserve">Medical Researcher</w:t>
      </w:r>
      <w:r>
        <w:t xml:space="preserve">B elgium Brussels benefits from proximity to the European Commission’s Directorate-General for Health and Food Safety (DG SANTE). This allows for real-time consultation on regulatory hurdles, ensuring that clinical trials are designed to meet EU standards from inception, thereby reducing delays in market approval and implementation.</w:t>
      </w:r>
    </w:p>
    <w:bookmarkEnd w:id="25"/>
    <w:bookmarkEnd w:id="26"/>
    <w:bookmarkStart w:id="27" w:name="X328fa69b364f3386ace1967fca3f33c6bc9db43"/>
    <w:p>
      <w:pPr>
        <w:pStyle w:val="Heading2"/>
      </w:pPr>
      <w:r>
        <w:t xml:space="preserve">5. Challenges Faced by the Medical Researcher</w:t>
      </w:r>
    </w:p>
    <w:p>
      <w:pPr>
        <w:pStyle w:val="FirstParagraph"/>
      </w:pPr>
      <w:r>
        <w:t xml:space="preserve">Despite the advantages, the role of a</w:t>
      </w:r>
    </w:p>
    <w:p>
      <w:pPr>
        <w:pStyle w:val="BodyText"/>
      </w:pPr>
      <w:r>
        <w:t xml:space="preserve">Medical ResearcherB elgium Brussels is not without challenges. The high cost of living and operational expenses in Brussels can strain research budgets, requiring innovative financial management strategies. Additionally, the multilingual nature of Belgium necessitates that communication with patients and local stakeholders often requires translation services or multilingual staff, adding a layer of complexity to study coordination.</w:t>
      </w:r>
    </w:p>
    <w:p>
      <w:pPr>
        <w:pStyle w:val="BodyText"/>
      </w:pPr>
      <w:r>
        <w:rPr>
          <w:bCs/>
          <w:b/>
        </w:rPr>
        <w:t xml:space="preserve">Competitive Pressure</w:t>
      </w:r>
      <w:r>
        <w:t xml:space="preserve">: The density of research institutions in</w:t>
      </w:r>
    </w:p>
    <w:p>
      <w:pPr>
        <w:pStyle w:val="BodyText"/>
      </w:pPr>
      <w:r>
        <w:t xml:space="preserve">B elgium Brussels creates a highly competitive environment. A</w:t>
      </w:r>
    </w:p>
    <w:p>
      <w:pPr>
        <w:pStyle w:val="BodyText"/>
      </w:pPr>
      <w:r>
        <w:t xml:space="preserve">Medical Researcher must constantly innovate to secure funding and publish high-impact results. This pressure can lead to burnout if not managed with proper work-life balance strategies and institutional support.</w:t>
      </w:r>
    </w:p>
    <w:bookmarkEnd w:id="27"/>
    <w:bookmarkStart w:id="28" w:name="X9fe6b6af62dba5078923336d8b982fcae7100ab"/>
    <w:p>
      <w:pPr>
        <w:pStyle w:val="Heading2"/>
      </w:pPr>
      <w:r>
        <w:t xml:space="preserve">6. Case Scenario: Launching a Pan-European Clinical Trial</w:t>
      </w:r>
    </w:p>
    <w:p>
      <w:pPr>
        <w:pStyle w:val="FirstParagraph"/>
      </w:pPr>
      <w:r>
        <w:t xml:space="preserve">To illustrate the practical application of this role, consider a scenario where the</w:t>
      </w:r>
      <w:r>
        <w:t xml:space="preserve"> </w:t>
      </w:r>
      <w:r>
        <w:rPr>
          <w:bCs/>
          <w:b/>
        </w:rPr>
        <w:t xml:space="preserve">Medical Researcher</w:t>
      </w:r>
      <w:r>
        <w:t xml:space="preserve"> </w:t>
      </w:r>
      <w:r>
        <w:t xml:space="preserve">initiates a Phase III clinical trial for a novel immunotherapy drug. Based in</w:t>
      </w:r>
    </w:p>
    <w:p>
      <w:pPr>
        <w:pStyle w:val="BodyText"/>
      </w:pPr>
      <w:r>
        <w:t xml:space="preserve">B elgium Brussels, the researcher leverages local university hospitals to enroll participants from diverse demographic backgrounds, ensuring the study’s results are generalizable across Europe.</w:t>
      </w:r>
    </w:p>
    <w:p>
      <w:pPr>
        <w:pStyle w:val="BodyText"/>
      </w:pPr>
      <w:r>
        <w:t xml:space="preserve">The proximity to EU regulatory bodies allows the team to pre-submit protocol documents for feedback, significantly shortening the review period. Furthermore, by utilizing Brussels’ status as a diplomatic hub, the</w:t>
      </w:r>
      <w:r>
        <w:t xml:space="preserve"> </w:t>
      </w:r>
      <w:r>
        <w:rPr>
          <w:bCs/>
          <w:b/>
        </w:rPr>
        <w:t xml:space="preserve">Medical Researcher</w:t>
      </w:r>
      <w:r>
        <w:t xml:space="preserve"> </w:t>
      </w:r>
      <w:r>
        <w:t xml:space="preserve">engages with policymakers early in the process, advocating for favorable reimbursement policies once the drug receives marketing authorization. This proactive approach demonstrates how location-specific advantages can be leveraged to accelerate healthcare innovation.</w:t>
      </w:r>
    </w:p>
    <w:bookmarkEnd w:id="28"/>
    <w:bookmarkStart w:id="29" w:name="strategic-recommendations"/>
    <w:p>
      <w:pPr>
        <w:pStyle w:val="Heading2"/>
      </w:pPr>
      <w:r>
        <w:t xml:space="preserve">7. Strategic Recommendations</w:t>
      </w:r>
    </w:p>
    <w:p>
      <w:pPr>
        <w:pStyle w:val="FirstParagraph"/>
      </w:pPr>
      <w:r>
        <w:t xml:space="preserve">To maximize the potential of a</w:t>
      </w:r>
    </w:p>
    <w:p>
      <w:pPr>
        <w:pStyle w:val="BodyText"/>
      </w:pPr>
      <w:r>
        <w:t xml:space="preserve">Medical Researcher in this environment, institutions should:</w:t>
      </w:r>
    </w:p>
    <w:p>
      <w:pPr>
        <w:numPr>
          <w:ilvl w:val="0"/>
          <w:numId w:val="1001"/>
        </w:numPr>
        <w:pStyle w:val="Compact"/>
      </w:pPr>
      <w:r>
        <w:rPr>
          <w:bCs/>
          <w:b/>
        </w:rPr>
        <w:t xml:space="preserve">Foster Interdisciplinary Partnerships:</w:t>
      </w:r>
      <w:r>
        <w:t xml:space="preserve"> </w:t>
      </w:r>
      <w:r>
        <w:t xml:space="preserve">Encourage collaborations between medical researchers, data scientists, and policy experts based in</w:t>
      </w:r>
    </w:p>
    <w:p>
      <w:pPr>
        <w:numPr>
          <w:ilvl w:val="0"/>
          <w:numId w:val="1000"/>
        </w:numPr>
        <w:pStyle w:val="Compact"/>
      </w:pPr>
      <w:r>
        <w:t xml:space="preserve">B elgium Brussels.</w:t>
      </w:r>
    </w:p>
    <w:p>
      <w:pPr>
        <w:numPr>
          <w:ilvl w:val="0"/>
          <w:numId w:val="1001"/>
        </w:numPr>
        <w:pStyle w:val="Compact"/>
      </w:pPr>
      <w:r>
        <w:t xml:space="preserve">Invest in Regulatory Training: Provide specific training for researchers on EU health regulations and legislative processes.</w:t>
      </w:r>
    </w:p>
    <w:p>
      <w:pPr>
        <w:numPr>
          <w:ilvl w:val="0"/>
          <w:numId w:val="1001"/>
        </w:numPr>
        <w:pStyle w:val="Compact"/>
      </w:pPr>
      <w:r>
        <w:rPr>
          <w:bCs/>
          <w:b/>
        </w:rPr>
        <w:t xml:space="preserve">Leverage Digital Infrastructure:</w:t>
      </w:r>
      <w:r>
        <w:t xml:space="preserve"> </w:t>
      </w:r>
      <w:r>
        <w:t xml:space="preserve">Utilize cloud-based platforms to facilitate data sharing across the European network, enhancing the efficiency of multinational studies.</w:t>
      </w:r>
    </w:p>
    <w:bookmarkEnd w:id="29"/>
    <w:bookmarkStart w:id="30" w:name="conclusion"/>
    <w:p>
      <w:pPr>
        <w:pStyle w:val="Heading2"/>
      </w:pPr>
      <w:r>
        <w:t xml:space="preserve">8. Conclusion</w:t>
      </w:r>
    </w:p>
    <w:p>
      <w:pPr>
        <w:pStyle w:val="FirstParagraph"/>
      </w:pPr>
      <w:r>
        <w:t xml:space="preserve">The case study highlights that a operating in</w:t>
      </w:r>
    </w:p>
    <w:p>
      <w:pPr>
        <w:pStyle w:val="BodyText"/>
      </w:pPr>
      <w:r>
        <w:t xml:space="preserve">B elgium Brussels is not merely a scientist contributing to knowledge but also a pivotal actor in the broader healthcare ecosystem. The unique convergence of academic excellence, regulatory influence, and international collaboration makes this location ideal for impactful medical research. By understanding and leveraging the specific dynamics of</w:t>
      </w:r>
    </w:p>
    <w:p>
      <w:pPr>
        <w:pStyle w:val="BodyText"/>
      </w:pPr>
      <w:r>
        <w:t xml:space="preserve">B elgium Brussels, organizations can empower their</w:t>
      </w:r>
    </w:p>
    <w:p>
      <w:pPr>
        <w:pStyle w:val="BodyText"/>
      </w:pPr>
      <w:r>
        <w:t xml:space="preserve">Medical Researcher to achieve greater scientific breakthroughs and improve public health outcomes on a European scale.</w:t>
      </w:r>
    </w:p>
    <w:p>
      <w:pPr>
        <w:pStyle w:val="BodyText"/>
      </w:pPr>
      <w:r>
        <w:t xml:space="preserve">This document serves as a testament to the strategic value of integrating medical research roles within key policy hubs, demonstrating that location is not just geographical but functional in shaping the future of healthcare innovation.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Medical Researcher in Belgium, Brussels</dc:title>
  <dc:creator/>
  <cp:keywords/>
  <dcterms:created xsi:type="dcterms:W3CDTF">2026-07-29T04:29:51Z</dcterms:created>
  <dcterms:modified xsi:type="dcterms:W3CDTF">2026-07-29T04:29:51Z</dcterms:modified>
</cp:coreProperties>
</file>

<file path=docProps/custom.xml><?xml version="1.0" encoding="utf-8"?>
<Properties xmlns="http://schemas.openxmlformats.org/officeDocument/2006/custom-properties" xmlns:vt="http://schemas.openxmlformats.org/officeDocument/2006/docPropsVTypes"/>
</file>