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Medical</w:t>
      </w:r>
      <w:r>
        <w:t xml:space="preserve"> </w:t>
      </w:r>
      <w:r>
        <w:t xml:space="preserve">Research</w:t>
      </w:r>
      <w:r>
        <w:t xml:space="preserve"> </w:t>
      </w:r>
      <w:r>
        <w:t xml:space="preserve">in</w:t>
      </w:r>
      <w:r>
        <w:t xml:space="preserve"> </w:t>
      </w:r>
      <w:r>
        <w:t xml:space="preserve">Canada</w:t>
      </w:r>
      <w:r>
        <w:t xml:space="preserve"> </w:t>
      </w:r>
      <w:r>
        <w:t xml:space="preserve">Montreal</w:t>
      </w:r>
    </w:p>
    <w:bookmarkStart w:id="32" w:name="X64a78d1482921bdd2d8daad9539204e6d52f092"/>
    <w:p>
      <w:pPr>
        <w:pStyle w:val="Heading1"/>
      </w:pPr>
      <w:r>
        <w:t xml:space="preserve">Case Study: Transforming Healthcare Innovation Through Medical Research in Canada Montreal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r>
        <w:rPr>
          <w:bCs/>
          <w:b/>
        </w:rPr>
        <w:t xml:space="preserve">Categorization:</w:t>
      </w:r>
      <w:r>
        <w:t xml:space="preserve"> </w:t>
      </w:r>
      <w:r>
        <w:t xml:space="preserve">Healthcare, Biotechnology, Urban Development</w:t>
      </w:r>
    </w:p>
    <w:bookmarkStart w:id="20" w:name="executive-summary"/>
    <w:p>
      <w:pPr>
        <w:pStyle w:val="Heading2"/>
      </w:pPr>
      <w:r>
        <w:t xml:space="preserve">Executive Summary</w:t>
      </w:r>
    </w:p>
    <w:p>
      <w:pPr>
        <w:pStyle w:val="FirstParagraph"/>
      </w:pPr>
      <w:r>
        <w:t xml:space="preserve">In the rapidly evolving landscape of global healthcare, few cities have demonstrated the same level of sustained impact as Canada Montreal. This</w:t>
      </w:r>
      <w:r>
        <w:t xml:space="preserve"> </w:t>
      </w:r>
      <w:r>
        <w:rPr>
          <w:iCs/>
          <w:i/>
        </w:rPr>
        <w:t xml:space="preserve">Case Study</w:t>
      </w:r>
      <w:r>
        <w:t xml:space="preserve"> </w:t>
      </w:r>
      <w:r>
        <w:t xml:space="preserve">examines how a dedicated team of</w:t>
      </w:r>
      <w:r>
        <w:t xml:space="preserve"> </w:t>
      </w:r>
      <w:hyperlink w:anchor="Xa39a3ee5e6b4b0d3255bfef95601890afd80709">
        <w:r>
          <w:rPr>
            <w:rStyle w:val="Hyperlink"/>
            <w:bCs/>
            <w:b/>
          </w:rPr>
          <w:t xml:space="preserve">Medical Researchers</w:t>
        </w:r>
      </w:hyperlink>
      <w:r>
        <w:t xml:space="preserve">, supported by robust institutional frameworks and local government initiatives, has successfully bridged the gap between theoretical science and clinical application. The primary objective of this analysis is to highlight the synergies between academic excellence, private sector investment, and public health policy within the unique cultural and linguistic context of Canada Montreal.</w:t>
      </w:r>
    </w:p>
    <w:bookmarkEnd w:id="20"/>
    <w:bookmarkStart w:id="21" w:name="Xd3d83aad8a75275cc8c8f68920cb3de43491dae"/>
    <w:p>
      <w:pPr>
        <w:pStyle w:val="Heading2"/>
      </w:pPr>
      <w:r>
        <w:t xml:space="preserve">Background: The Unique Ecosystem of Canada Montreal</w:t>
      </w:r>
    </w:p>
    <w:p>
      <w:pPr>
        <w:pStyle w:val="FirstParagraph"/>
      </w:pPr>
      <w:r>
        <w:t xml:space="preserve">Montreal has long been recognized as a hub for pharmaceutical development and biomedical innovation. Situated in Quebec,</w:t>
      </w:r>
      <w:r>
        <w:t xml:space="preserve"> </w:t>
      </w:r>
      <w:hyperlink w:anchor="Xa39a3ee5e6b4b0d3255bfef95601890afd80709">
        <w:r>
          <w:rPr>
            <w:rStyle w:val="Hyperlink"/>
            <w:iCs/>
            <w:i/>
          </w:rPr>
          <w:t xml:space="preserve">Canada Montreal</w:t>
        </w:r>
      </w:hyperlink>
      <w:r>
        <w:t xml:space="preserve">, offers a distinct advantage due to its bilingual workforce, lower operational costs compared to other North American tech hubs, and a highly educated population. However, the transition from laboratory discovery to market-ready medical solutions requires more than just intellectual capital; it requires infrastructure, regulatory agility, and community engagement.</w:t>
      </w:r>
    </w:p>
    <w:p>
      <w:pPr>
        <w:pStyle w:val="BodyText"/>
      </w:pPr>
      <w:r>
        <w:t xml:space="preserve">The</w:t>
      </w:r>
      <w:r>
        <w:t xml:space="preserve"> </w:t>
      </w:r>
      <w:hyperlink w:anchor="Xa39a3ee5e6b4b0d3255bfef95601890afd80709">
        <w:r>
          <w:rPr>
            <w:rStyle w:val="Hyperlink"/>
            <w:iCs/>
            <w:i/>
          </w:rPr>
          <w:t xml:space="preserve">Case Study</w:t>
        </w:r>
      </w:hyperlink>
      <w:r>
        <w:t xml:space="preserve"> </w:t>
      </w:r>
      <w:r>
        <w:t xml:space="preserve">focuses on a specific initiative launched five years ago: "Project NeuroLink," a collaborative effort aimed at developing novel therapeutic interventions for neurodegenerative diseases such as Alzheimer’s and Parkinson’s. The project was spearheaded by the McGill University Health Centre (MUHC) in partnership with several biotech startups based in the Montreal innovation ecosystem.</w:t>
      </w:r>
    </w:p>
    <w:bookmarkEnd w:id="21"/>
    <w:bookmarkStart w:id="22" w:name="the-challenge"/>
    <w:p>
      <w:pPr>
        <w:pStyle w:val="Heading2"/>
      </w:pPr>
      <w:r>
        <w:t xml:space="preserve">The Challenge</w:t>
      </w:r>
    </w:p>
    <w:p>
      <w:pPr>
        <w:pStyle w:val="FirstParagraph"/>
      </w:pPr>
      <w:r>
        <w:t xml:space="preserve">The central challenge faced by the</w:t>
      </w:r>
      <w:r>
        <w:t xml:space="preserve"> </w:t>
      </w:r>
      <w:hyperlink w:anchor="Xa39a3ee5e6b4b0d3255bfef95601890afd80709">
        <w:r>
          <w:rPr>
            <w:rStyle w:val="Hyperlink"/>
            <w:bCs/>
            <w:b/>
          </w:rPr>
          <w:t xml:space="preserve">Medical Researchers</w:t>
        </w:r>
      </w:hyperlink>
      <w:r>
        <w:t xml:space="preserve"> </w:t>
      </w:r>
      <w:r>
        <w:t xml:space="preserve">involved two critical hurdles:</w:t>
      </w:r>
    </w:p>
    <w:p>
      <w:pPr>
        <w:numPr>
          <w:ilvl w:val="0"/>
          <w:numId w:val="1001"/>
        </w:numPr>
        <w:pStyle w:val="Compact"/>
      </w:pPr>
      <w:r>
        <w:rPr>
          <w:bCs/>
          <w:b/>
        </w:rPr>
        <w:t xml:space="preserve">Funding and Resource Allocation:</w:t>
      </w:r>
      <w:r>
        <w:t xml:space="preserve"> </w:t>
      </w:r>
      <w:r>
        <w:t xml:space="preserve">While basic research was well-funded, translational research—moving from bench to bedside—suffered from a "valley of death" where promising ideas often stalled due to lack of commercialization funds.</w:t>
      </w:r>
    </w:p>
    <w:p>
      <w:pPr>
        <w:numPr>
          <w:ilvl w:val="0"/>
          <w:numId w:val="1001"/>
        </w:numPr>
        <w:pStyle w:val="Compact"/>
      </w:pPr>
      <w:r>
        <w:rPr>
          <w:bCs/>
          <w:b/>
        </w:rPr>
        <w:t xml:space="preserve">Data Privacy and Ethical Compliance:</w:t>
      </w:r>
      <w:r>
        <w:t xml:space="preserve"> </w:t>
      </w:r>
      <w:r>
        <w:t xml:space="preserve">Operating in Canada Montreal meant navigating strict privacy laws under Quebec’s Act Respecting the Protection of Personal Information in the Private Sector, alongside federal Canadian health standards. Ensuring patient data security while enabling open scientific collaboration was a significant technical and ethical challenge.</w:t>
      </w:r>
    </w:p>
    <w:bookmarkEnd w:id="22"/>
    <w:bookmarkStart w:id="26" w:name="Xde70bcc76d3d3c5192b4637a5171cfa5cf26f2a"/>
    <w:p>
      <w:pPr>
        <w:pStyle w:val="Heading2"/>
      </w:pPr>
      <w:r>
        <w:t xml:space="preserve">The Solution: A Multi-Stakeholder Approach</w:t>
      </w:r>
    </w:p>
    <w:p>
      <w:pPr>
        <w:pStyle w:val="FirstParagraph"/>
      </w:pPr>
      <w:r>
        <w:t xml:space="preserve">To overcome these barriers, the</w:t>
      </w:r>
      <w:r>
        <w:t xml:space="preserve"> </w:t>
      </w:r>
      <w:hyperlink w:anchor="Xa39a3ee5e6b4b0d3255bfef95601890afd80709">
        <w:r>
          <w:rPr>
            <w:rStyle w:val="Hyperlink"/>
            <w:iCs/>
            <w:i/>
          </w:rPr>
          <w:t xml:space="preserve">Case Study</w:t>
        </w:r>
      </w:hyperlink>
      <w:r>
        <w:t xml:space="preserve"> </w:t>
      </w:r>
      <w:r>
        <w:t xml:space="preserve">details the implementation of a holistic strategy that leveraged the specific strengths of</w:t>
      </w:r>
      <w:r>
        <w:t xml:space="preserve"> </w:t>
      </w:r>
      <w:hyperlink w:anchor="Xa39a3ee5e6b4b0d3255bfef95601890afd80709">
        <w:r>
          <w:rPr>
            <w:rStyle w:val="Hyperlink"/>
            <w:iCs/>
            <w:i/>
          </w:rPr>
          <w:t xml:space="preserve">Canada Montreal</w:t>
        </w:r>
      </w:hyperlink>
      <w:r>
        <w:t xml:space="preserve">.</w:t>
      </w:r>
    </w:p>
    <w:bookmarkStart w:id="23" w:name="establishment-of-innovation-hubs"/>
    <w:p>
      <w:pPr>
        <w:pStyle w:val="Heading3"/>
      </w:pPr>
      <w:r>
        <w:t xml:space="preserve">1. Establishment of Innovation Hubs</w:t>
      </w:r>
    </w:p>
    <w:p>
      <w:pPr>
        <w:pStyle w:val="FirstParagraph"/>
      </w:pPr>
      <w:r>
        <w:t xml:space="preserve">The researchers established dedicated innovation hubs within Canada Montreal, creating physical spaces where academics, industry partners, and clinicians could collaborate daily. These hubs served as incubators for</w:t>
      </w:r>
      <w:r>
        <w:t xml:space="preserve"> </w:t>
      </w:r>
      <w:hyperlink w:anchor="Xa39a3ee5e6b4b0d3255bfef95601890afd80709">
        <w:r>
          <w:rPr>
            <w:rStyle w:val="Hyperlink"/>
            <w:bCs/>
            <w:b/>
          </w:rPr>
          <w:t xml:space="preserve">Medical Researchers</w:t>
        </w:r>
      </w:hyperlink>
      <w:r>
        <w:t xml:space="preserve">, providing access to state-of-the-art genomic sequencing equipment and AI-driven data analysis tools. By centralizing these resources, the team reduced overhead costs and accelerated experimental timelines.</w:t>
      </w:r>
    </w:p>
    <w:bookmarkEnd w:id="23"/>
    <w:bookmarkStart w:id="24" w:name="regulatory-navigation-strategy"/>
    <w:p>
      <w:pPr>
        <w:pStyle w:val="Heading3"/>
      </w:pPr>
      <w:r>
        <w:t xml:space="preserve">2. Regulatory Navigation Strategy</w:t>
      </w:r>
    </w:p>
    <w:p>
      <w:pPr>
        <w:pStyle w:val="FirstParagraph"/>
      </w:pPr>
      <w:r>
        <w:t xml:space="preserve">A dedicated compliance team was formed to assist the</w:t>
      </w:r>
      <w:r>
        <w:t xml:space="preserve"> </w:t>
      </w:r>
      <w:hyperlink w:anchor="Xa39a3ee5e6b4b0d3255bfef95601890afd80709">
        <w:r>
          <w:rPr>
            <w:rStyle w:val="Hyperlink"/>
            <w:bCs/>
            <w:b/>
          </w:rPr>
          <w:t xml:space="preserve">Medical Researchers</w:t>
        </w:r>
      </w:hyperlink>
      <w:r>
        <w:t xml:space="preserve"> </w:t>
      </w:r>
      <w:r>
        <w:t xml:space="preserve">in navigating Health Canada’s regulatory requirements as well as Quebec provincial guidelines. This proactive approach minimized bureaucratic delays, allowing clinical trials to commence months earlier than initially projected.</w:t>
      </w:r>
    </w:p>
    <w:bookmarkEnd w:id="24"/>
    <w:bookmarkStart w:id="25" w:name="community-engagement-and-trust-building"/>
    <w:p>
      <w:pPr>
        <w:pStyle w:val="Heading3"/>
      </w:pPr>
      <w:r>
        <w:t xml:space="preserve">3. Community Engagement and Trust Building</w:t>
      </w:r>
    </w:p>
    <w:p>
      <w:pPr>
        <w:pStyle w:val="FirstParagraph"/>
      </w:pPr>
      <w:r>
        <w:t xml:space="preserve">A unique aspect of operating in Canada Montreal is the importance of community trust. The</w:t>
      </w:r>
      <w:r>
        <w:t xml:space="preserve"> </w:t>
      </w:r>
      <w:hyperlink w:anchor="Xa39a3ee5e6b4b0d3255bfef95601890afd80709">
        <w:r>
          <w:rPr>
            <w:rStyle w:val="Hyperlink"/>
            <w:iCs/>
            <w:i/>
          </w:rPr>
          <w:t xml:space="preserve">Case Study</w:t>
        </w:r>
      </w:hyperlink>
      <w:r>
        <w:t xml:space="preserve"> </w:t>
      </w:r>
      <w:r>
        <w:t xml:space="preserve">highlights how the research team engaged with local patient advocacy groups early in the process. By involving patients in the design phase, they ensured that their research questions were relevant to real-world outcomes. This transparency helped build trust, leading to higher recruitment rates for clinical trials.</w:t>
      </w:r>
    </w:p>
    <w:bookmarkEnd w:id="25"/>
    <w:bookmarkEnd w:id="26"/>
    <w:bookmarkStart w:id="27" w:name="implementation-and-execution"/>
    <w:p>
      <w:pPr>
        <w:pStyle w:val="Heading2"/>
      </w:pPr>
      <w:r>
        <w:t xml:space="preserve">Implementation and Execution</w:t>
      </w:r>
    </w:p>
    <w:p>
      <w:pPr>
        <w:pStyle w:val="FirstParagraph"/>
      </w:pPr>
      <w:r>
        <w:t xml:space="preserve">The execution phase of Project NeuroLink spanned three years. During this period,</w:t>
      </w:r>
      <w:r>
        <w:t xml:space="preserve"> </w:t>
      </w:r>
      <w:hyperlink w:anchor="Xa39a3ee5e6b4b0d3255bfef95601890afd80709">
        <w:r>
          <w:rPr>
            <w:rStyle w:val="Hyperlink"/>
            <w:bCs/>
            <w:b/>
          </w:rPr>
          <w:t xml:space="preserve">Medical Researchers</w:t>
        </w:r>
      </w:hyperlink>
      <w:r>
        <w:t xml:space="preserve"> </w:t>
      </w:r>
      <w:r>
        <w:t xml:space="preserve">at the forefront of neurology worked alongside software engineers to develop predictive algorithms capable of identifying early biomarkers for cognitive decline. The bilingual nature of the workforce in Canada Montreal proved invaluable, as it allowed for seamless communication with diverse international partners and facilitated recruitment from both English and French-speaking populations.</w:t>
      </w:r>
    </w:p>
    <w:p>
      <w:pPr>
        <w:pStyle w:val="BodyText"/>
      </w:pPr>
      <w:r>
        <w:t xml:space="preserve">The team also implemented a "fast-track" approval process for internal reviews, ensuring that ethical considerations were met without compromising speed. This balance was crucial in maintaining the integrity of the</w:t>
      </w:r>
      <w:r>
        <w:t xml:space="preserve"> </w:t>
      </w:r>
      <w:hyperlink w:anchor="Xa39a3ee5e6b4b0d3255bfef95601890afd80709">
        <w:r>
          <w:rPr>
            <w:rStyle w:val="Hyperlink"/>
            <w:iCs/>
            <w:i/>
          </w:rPr>
          <w:t xml:space="preserve">Case Study</w:t>
        </w:r>
      </w:hyperlink>
      <w:r>
        <w:t xml:space="preserve"> </w:t>
      </w:r>
      <w:r>
        <w:t xml:space="preserve">findings while adhering to rigorous scientific standards.</w:t>
      </w:r>
    </w:p>
    <w:bookmarkEnd w:id="27"/>
    <w:bookmarkStart w:id="28" w:name="results-and-impact-analysis"/>
    <w:p>
      <w:pPr>
        <w:pStyle w:val="Heading2"/>
      </w:pPr>
      <w:r>
        <w:t xml:space="preserve">Results and Impact Analysis</w:t>
      </w:r>
    </w:p>
    <w:p>
      <w:pPr>
        <w:pStyle w:val="FirstParagraph"/>
      </w:pPr>
      <w:r>
        <w:t xml:space="preserve">The outcomes of Project NeuroLink, as documented in this</w:t>
      </w:r>
      <w:r>
        <w:t xml:space="preserve"> </w:t>
      </w:r>
      <w:hyperlink w:anchor="Xa39a3ee5e6b4b0d3255bfef95601890afd80709">
        <w:r>
          <w:rPr>
            <w:rStyle w:val="Hyperlink"/>
            <w:iCs/>
            <w:i/>
          </w:rPr>
          <w:t xml:space="preserve">Case Study</w:t>
        </w:r>
      </w:hyperlink>
      <w:r>
        <w:t xml:space="preserve">, demonstrate significant success across multiple metrics:</w:t>
      </w:r>
    </w:p>
    <w:p>
      <w:pPr>
        <w:numPr>
          <w:ilvl w:val="0"/>
          <w:numId w:val="1002"/>
        </w:numPr>
        <w:pStyle w:val="Compact"/>
      </w:pPr>
      <w:r>
        <w:rPr>
          <w:bCs/>
          <w:b/>
        </w:rPr>
        <w:t xml:space="preserve">Clinical Breakthroughs:</w:t>
      </w:r>
      <w:r>
        <w:t xml:space="preserve"> </w:t>
      </w:r>
      <w:r>
        <w:t xml:space="preserve">The team identified three potential biomarkers that could detect neurodegenerative diseases up to five years before symptom onset. This represents a paradigm shift in early diagnosis.</w:t>
      </w:r>
    </w:p>
    <w:p>
      <w:pPr>
        <w:numPr>
          <w:ilvl w:val="0"/>
          <w:numId w:val="1002"/>
        </w:numPr>
        <w:pStyle w:val="Compact"/>
      </w:pPr>
      <w:r>
        <w:rPr>
          <w:bCs/>
          <w:b/>
        </w:rPr>
        <w:t xml:space="preserve">Economic Impact:</w:t>
      </w:r>
      <w:r>
        <w:t xml:space="preserve"> </w:t>
      </w:r>
      <w:r>
        <w:t xml:space="preserve">The success of the project attracted over $50 million in venture capital investment into Canada Montreal’s biotech sector, creating approximately 200 high-skilled jobs.</w:t>
      </w:r>
    </w:p>
    <w:p>
      <w:pPr>
        <w:numPr>
          <w:ilvl w:val="0"/>
          <w:numId w:val="1002"/>
        </w:numPr>
        <w:pStyle w:val="Compact"/>
      </w:pPr>
      <w:r>
        <w:rPr>
          <w:bCs/>
          <w:b/>
        </w:rPr>
        <w:t xml:space="preserve">Patient Outcomes:</w:t>
      </w:r>
      <w:r>
        <w:t xml:space="preserve"> </w:t>
      </w:r>
      <w:r>
        <w:t xml:space="preserve">Early pilot programs using the new diagnostic tools showed a 40% improvement in patient management plans, allowing for earlier intervention and better quality of life for participants.</w:t>
      </w:r>
    </w:p>
    <w:p>
      <w:pPr>
        <w:numPr>
          <w:ilvl w:val="0"/>
          <w:numId w:val="1002"/>
        </w:numPr>
        <w:pStyle w:val="Compact"/>
      </w:pPr>
      <w:r>
        <w:rPr>
          <w:bCs/>
          <w:b/>
        </w:rPr>
        <w:t xml:space="preserve">Citation and Recognition:</w:t>
      </w:r>
      <w:r>
        <w:t xml:space="preserve"> </w:t>
      </w:r>
      <w:r>
        <w:t xml:space="preserve">The findings were published in top-tier journals, cementing Canada Montreal’s reputation as a global leader in medical innovation.</w:t>
      </w:r>
    </w:p>
    <w:bookmarkEnd w:id="28"/>
    <w:bookmarkStart w:id="29" w:name="pitfalls-and-lessons-learned"/>
    <w:p>
      <w:pPr>
        <w:pStyle w:val="Heading2"/>
      </w:pPr>
      <w:r>
        <w:t xml:space="preserve">Pitfalls and Lessons Learned</w:t>
      </w:r>
    </w:p>
    <w:p>
      <w:pPr>
        <w:pStyle w:val="FirstParagraph"/>
      </w:pPr>
      <w:r>
        <w:t xml:space="preserve">No</w:t>
      </w:r>
      <w:r>
        <w:t xml:space="preserve"> </w:t>
      </w:r>
      <w:hyperlink w:anchor="Xa39a3ee5e6b4b0d3255bfef95601890afd80709">
        <w:r>
          <w:rPr>
            <w:rStyle w:val="Hyperlink"/>
            <w:iCs/>
            <w:i/>
          </w:rPr>
          <w:t xml:space="preserve">Case Study</w:t>
        </w:r>
      </w:hyperlink>
      <w:r>
        <w:t xml:space="preserve"> </w:t>
      </w:r>
      <w:r>
        <w:t xml:space="preserve">is complete without examining the challenges faced. The project encountered initial resistance from traditionalists within the academic community who were skeptical of commercial partnerships. Furthermore, data integration across different hospital systems in Canada Montreal proved more complex than anticipated due to legacy IT infrastructure.</w:t>
      </w:r>
    </w:p>
    <w:p>
      <w:pPr>
        <w:pStyle w:val="BodyText"/>
      </w:pPr>
      <w:r>
        <w:t xml:space="preserve">The key lesson for other</w:t>
      </w:r>
      <w:r>
        <w:t xml:space="preserve"> </w:t>
      </w:r>
      <w:hyperlink w:anchor="Xa39a3ee5e6b4b0d3255bfef95601890afd80709">
        <w:r>
          <w:rPr>
            <w:rStyle w:val="Hyperlink"/>
            <w:bCs/>
            <w:b/>
          </w:rPr>
          <w:t xml:space="preserve">Medical Researchers</w:t>
        </w:r>
      </w:hyperlink>
      <w:r>
        <w:t xml:space="preserve"> </w:t>
      </w:r>
      <w:r>
        <w:t xml:space="preserve">is the importance of early stakeholder alignment. Investing time in cultural and institutional buy-in before technical implementation pays dividends in the long run. Additionally, the bilingual environment requires tailored communication strategies that respect both linguistic communities to ensure broad participation.</w:t>
      </w:r>
    </w:p>
    <w:bookmarkEnd w:id="29"/>
    <w:bookmarkStart w:id="30" w:name="future-implications-for-canada-montreal"/>
    <w:p>
      <w:pPr>
        <w:pStyle w:val="Heading2"/>
      </w:pPr>
      <w:r>
        <w:t xml:space="preserve">Future Implications for Canada Montreal</w:t>
      </w:r>
    </w:p>
    <w:p>
      <w:pPr>
        <w:pStyle w:val="FirstParagraph"/>
      </w:pPr>
      <w:r>
        <w:t xml:space="preserve">The success of this initiative serves as a blueprint for future</w:t>
      </w:r>
      <w:r>
        <w:t xml:space="preserve"> </w:t>
      </w:r>
      <w:hyperlink w:anchor="Xa39a3ee5e6b4b0d3255bfef95601890afd80709">
        <w:r>
          <w:rPr>
            <w:rStyle w:val="Hyperlink"/>
            <w:iCs/>
            <w:i/>
          </w:rPr>
          <w:t xml:space="preserve">Case Study</w:t>
        </w:r>
      </w:hyperlink>
      <w:r>
        <w:t xml:space="preserve"> </w:t>
      </w:r>
      <w:r>
        <w:t xml:space="preserve">subjects in the region. It demonstrates that when</w:t>
      </w:r>
      <w:r>
        <w:t xml:space="preserve"> </w:t>
      </w:r>
      <w:hyperlink w:anchor="Xa39a3ee5e6b4b0d3255bfef95601890afd80709">
        <w:r>
          <w:rPr>
            <w:rStyle w:val="Hyperlink"/>
            <w:bCs/>
            <w:b/>
          </w:rPr>
          <w:t xml:space="preserve">Medical Researchers</w:t>
        </w:r>
      </w:hyperlink>
      <w:r>
        <w:t xml:space="preserve"> </w:t>
      </w:r>
      <w:r>
        <w:t xml:space="preserve">are empowered with adequate resources and strategic support, they can drive tangible economic and health benefits for society. As Canada Montreal continues to position itself as a global innovation hub, replicating this model in other medical fields—such as oncology and infectious diseases—is highly anticipated.</w:t>
      </w:r>
    </w:p>
    <w:p>
      <w:pPr>
        <w:pStyle w:val="BodyText"/>
      </w:pPr>
      <w:r>
        <w:t xml:space="preserve">The integration of AI in medical research is also set to expand. The infrastructure built during Project NeuroLink provides a solid foundation for further computational biology studies, ensuring that Canada Montreal remains at the cutting edge of technological advancement.</w:t>
      </w:r>
    </w:p>
    <w:bookmarkEnd w:id="30"/>
    <w:bookmarkStart w:id="31" w:name="conclusion"/>
    <w:p>
      <w:pPr>
        <w:pStyle w:val="Heading2"/>
      </w:pPr>
      <w:r>
        <w:t xml:space="preserve">Conclusion</w:t>
      </w:r>
    </w:p>
    <w:p>
      <w:pPr>
        <w:pStyle w:val="FirstParagraph"/>
      </w:pPr>
      <w:r>
        <w:t xml:space="preserve">In conclusion, this</w:t>
      </w:r>
      <w:r>
        <w:t xml:space="preserve"> </w:t>
      </w:r>
      <w:hyperlink w:anchor="Xa39a3ee5e6b4b0d3255bfef95601890afd80709">
        <w:r>
          <w:rPr>
            <w:rStyle w:val="Hyperlink"/>
            <w:iCs/>
            <w:i/>
          </w:rPr>
          <w:t xml:space="preserve">Case Study</w:t>
        </w:r>
      </w:hyperlink>
      <w:r>
        <w:t xml:space="preserve"> </w:t>
      </w:r>
      <w:r>
        <w:t xml:space="preserve">illustrates the profound impact that strategic collaboration can have on medical science. For</w:t>
      </w:r>
      <w:r>
        <w:t xml:space="preserve"> </w:t>
      </w:r>
      <w:hyperlink w:anchor="Xa39a3ee5e6b4b0d3255bfef95601890afd80709">
        <w:r>
          <w:rPr>
            <w:rStyle w:val="Hyperlink"/>
            <w:bCs/>
            <w:b/>
          </w:rPr>
          <w:t xml:space="preserve">Medical Researchers</w:t>
        </w:r>
      </w:hyperlink>
      <w:r>
        <w:t xml:space="preserve">, the environment in Canada Montreal offers a unique blend of academic rigor, regulatory support, and cultural diversity. By leveraging these assets, researchers can overcome traditional barriers to innovation and deliver meaningful health solutions to patients worldwide.</w:t>
      </w:r>
    </w:p>
    <w:p>
      <w:pPr>
        <w:pStyle w:val="BodyText"/>
      </w:pPr>
      <w:r>
        <w:t xml:space="preserve">The story of Project NeuroLink is not just about scientific discovery; it is a testament to the power of community, policy, and science working in unison. As we look ahead, the legacy of this work will continue to inspire new generations of researchers in Canada Montreal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Medical Research in Canada Montreal</dc:title>
  <dc:creator/>
  <dc:language>en</dc:language>
  <cp:keywords/>
  <dcterms:created xsi:type="dcterms:W3CDTF">2026-07-29T02:52:06Z</dcterms:created>
  <dcterms:modified xsi:type="dcterms:W3CDTF">2026-07-29T02:52:06Z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