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174d37049b9785e886d25738ef3c62c58122c4"/>
    <w:p>
      <w:pPr>
        <w:pStyle w:val="Heading1"/>
      </w:pPr>
      <w:r>
        <w:t xml:space="preserve">A Strategic Case Study: The Role and Impact of the Medical Researcher in Canada, Toronto</w:t>
      </w:r>
    </w:p>
    <w:bookmarkStart w:id="20" w:name="Xc3216ae9a0dcfc07ab106bd2a700061a800a9dc"/>
    <w:p>
      <w:pPr>
        <w:pStyle w:val="Heading2"/>
      </w:pPr>
      <w:r>
        <w:t xml:space="preserve">I. Introduction to the Healthcare Ecosystem in Toronto</w:t>
      </w:r>
    </w:p>
    <w:p>
      <w:pPr>
        <w:pStyle w:val="FirstParagraph"/>
      </w:pPr>
      <w:r>
        <w:t xml:space="preserve">Toronto, as the largest city in</w:t>
      </w:r>
      <w:r>
        <w:t xml:space="preserve"> </w:t>
      </w:r>
      <w:r>
        <w:rPr>
          <w:bCs/>
          <w:b/>
        </w:rPr>
        <w:t xml:space="preserve">Canada</w:t>
      </w:r>
      <w:r>
        <w:t xml:space="preserve">, serves as a pivotal hub for healthcare innovation, clinical trials, and biomedical science. The city is home to some of the world’s most renowned hospitals and research institutions, creating a unique environment where academic rigor meets practical medical application. Within this bustling ecosystem, the</w:t>
      </w:r>
      <w:r>
        <w:t xml:space="preserve"> </w:t>
      </w:r>
      <w:r>
        <w:rPr>
          <w:bCs/>
          <w:b/>
        </w:rPr>
        <w:t xml:space="preserve">Medical Researcher</w:t>
      </w:r>
      <w:r>
        <w:t xml:space="preserve"> </w:t>
      </w:r>
      <w:r>
        <w:t xml:space="preserve">plays a critical role in advancing public health outcomes. This case study explores the specific functions, challenges, and strategic importance of medical researchers operating within the Toronto healthcare landscape. The integration of advanced data analytics, collaborative interdisciplinary work, and adherence to rigorous ethical standards defines the modern profile of a medical researcher in this region.</w:t>
      </w:r>
    </w:p>
    <w:bookmarkEnd w:id="20"/>
    <w:bookmarkStart w:id="21" w:name="X9cf8f0a1ee405ead9f6be61446ce52d3a7af36e"/>
    <w:p>
      <w:pPr>
        <w:pStyle w:val="Heading2"/>
      </w:pPr>
      <w:r>
        <w:t xml:space="preserve">II. Defining the Medical Researcher in Context</w:t>
      </w:r>
    </w:p>
    <w:p>
      <w:pPr>
        <w:pStyle w:val="FirstParagraph"/>
      </w:pPr>
      <w:r>
        <w:t xml:space="preserve">A</w:t>
      </w:r>
      <w:r>
        <w:t xml:space="preserve"> </w:t>
      </w:r>
      <w:r>
        <w:rPr>
          <w:bCs/>
          <w:b/>
        </w:rPr>
        <w:t xml:space="preserve">Medical Researcher</w:t>
      </w:r>
      <w:r>
        <w:t xml:space="preserve"> </w:t>
      </w:r>
      <w:r>
        <w:t xml:space="preserve">is not merely an academic; they are architects of knowledge who translate biological phenomena into clinical interventions. In</w:t>
      </w:r>
      <w:r>
        <w:t xml:space="preserve"> </w:t>
      </w:r>
      <w:r>
        <w:rPr>
          <w:bCs/>
          <w:b/>
        </w:rPr>
        <w:t xml:space="preserve">Toronto, Canada</w:t>
      </w:r>
      <w:r>
        <w:t xml:space="preserve">, this role has evolved significantly due to the city’s status as a global biotech hub. Researchers here often bridge the gap between basic laboratory science and bedside application. Their work encompasses epidemiology, pharmacological development, genetic sequencing, and health services research.</w:t>
      </w:r>
      <w:r>
        <w:t xml:space="preserve"> </w:t>
      </w:r>
      <w:r>
        <w:t xml:space="preserve">The mandate of these professionals extends beyond publishing papers in high-impact journals; they are tasked with solving local health disparities while contributing to global medical knowledge. For instance, a researcher at the University Health Network (UHN) might investigate novel cancer immunotherapies, while another at the Hospital for Sick Children (SickKids) focuses on pediatric infectious diseases. Despite their varied specializations, all share a common goal: improving patient survival rates and quality of life through evidence-based discoveries.</w:t>
      </w:r>
    </w:p>
    <w:bookmarkEnd w:id="21"/>
    <w:bookmarkStart w:id="22" w:name="Xa78e6ab7c3e2adb7498a1df2d7374755cc8024b"/>
    <w:p>
      <w:pPr>
        <w:pStyle w:val="Heading2"/>
      </w:pPr>
      <w:r>
        <w:t xml:space="preserve">III. The Infrastructure Supporting Research in Toronto</w:t>
      </w:r>
    </w:p>
    <w:p>
      <w:pPr>
        <w:pStyle w:val="FirstParagraph"/>
      </w:pPr>
      <w:r>
        <w:t xml:space="preserve">The success of any medical researcher depends heavily on the infrastructure supporting them.</w:t>
      </w:r>
      <w:r>
        <w:t xml:space="preserve"> </w:t>
      </w:r>
      <w:r>
        <w:rPr>
          <w:bCs/>
          <w:b/>
        </w:rPr>
        <w:t xml:space="preserve">Toronto, Canada</w:t>
      </w:r>
      <w:r>
        <w:t xml:space="preserve">, offers an unparalleled concentration of resources. Key institutions include:</w:t>
      </w:r>
    </w:p>
    <w:p>
      <w:pPr>
        <w:numPr>
          <w:ilvl w:val="0"/>
          <w:numId w:val="1001"/>
        </w:numPr>
        <w:pStyle w:val="Compact"/>
      </w:pPr>
      <w:r>
        <w:rPr>
          <w:bCs/>
          <w:b/>
        </w:rPr>
        <w:t xml:space="preserve">The University Health Network (UHN):</w:t>
      </w:r>
      <w:r>
        <w:t xml:space="preserve"> </w:t>
      </w:r>
      <w:r>
        <w:t xml:space="preserve">A leading research hospital that integrates care, research, and education.</w:t>
      </w:r>
    </w:p>
    <w:p>
      <w:pPr>
        <w:numPr>
          <w:ilvl w:val="0"/>
          <w:numId w:val="1001"/>
        </w:numPr>
        <w:pStyle w:val="Compact"/>
      </w:pPr>
      <w:r>
        <w:rPr>
          <w:bCs/>
          <w:b/>
        </w:rPr>
        <w:t xml:space="preserve">SickKids Research Institute:</w:t>
      </w:r>
      <w:r>
        <w:t xml:space="preserve"> </w:t>
      </w:r>
      <w:r>
        <w:t xml:space="preserve">A world leader in children’s health research.</w:t>
      </w:r>
    </w:p>
    <w:p>
      <w:pPr>
        <w:numPr>
          <w:ilvl w:val="0"/>
          <w:numId w:val="1001"/>
        </w:numPr>
        <w:pStyle w:val="Compact"/>
      </w:pPr>
      <w:r>
        <w:rPr>
          <w:bCs/>
          <w:b/>
        </w:rPr>
        <w:t xml:space="preserve">Toronto General Hospital:</w:t>
      </w:r>
      <w:r>
        <w:t xml:space="preserve"> </w:t>
      </w:r>
      <w:r>
        <w:t xml:space="preserve">Renowned for organ transplantation and neurology studies.</w:t>
      </w:r>
    </w:p>
    <w:p>
      <w:pPr>
        <w:numPr>
          <w:ilvl w:val="0"/>
          <w:numId w:val="1001"/>
        </w:numPr>
        <w:pStyle w:val="Compact"/>
      </w:pPr>
      <w:r>
        <w:rPr>
          <w:bCs/>
          <w:b/>
        </w:rPr>
        <w:t xml:space="preserve">Banting and Best Department of Medical Research at UofT:</w:t>
      </w:r>
      <w:r>
        <w:t xml:space="preserve"> </w:t>
      </w:r>
      <w:r>
        <w:t xml:space="preserve">A historic center for biomedical innovation.</w:t>
      </w:r>
    </w:p>
    <w:p>
      <w:pPr>
        <w:pStyle w:val="FirstParagraph"/>
      </w:pPr>
      <w:r>
        <w:t xml:space="preserve">This dense network allows researchers to access diverse patient populations, state-of-the-art laboratories, and extensive funding opportunities. The collaboration between the University of Toronto’s medical faculty and these hospitals creates a seamless pipeline for translating bench-side discoveries into hospital-wide protocols. This synergy is unique to</w:t>
      </w:r>
      <w:r>
        <w:t xml:space="preserve"> </w:t>
      </w:r>
      <w:r>
        <w:rPr>
          <w:bCs/>
          <w:b/>
        </w:rPr>
        <w:t xml:space="preserve">Toronto</w:t>
      </w:r>
      <w:r>
        <w:t xml:space="preserve"> </w:t>
      </w:r>
      <w:r>
        <w:t xml:space="preserve">and is a major factor in why the city attracts top-tier talent from around the globe.</w:t>
      </w:r>
    </w:p>
    <w:bookmarkEnd w:id="22"/>
    <w:bookmarkStart w:id="23" w:name="X023ebfa825f81ae65ef136e22e34acef8f60a46"/>
    <w:p>
      <w:pPr>
        <w:pStyle w:val="Heading2"/>
      </w:pPr>
      <w:r>
        <w:t xml:space="preserve">IV. Key Challenges Faced by Medical Researchers</w:t>
      </w:r>
    </w:p>
    <w:p>
      <w:pPr>
        <w:pStyle w:val="FirstParagraph"/>
      </w:pPr>
      <w:r>
        <w:t xml:space="preserve">Despite the robust infrastructure, medical researchers in</w:t>
      </w:r>
      <w:r>
        <w:t xml:space="preserve"> </w:t>
      </w:r>
      <w:r>
        <w:rPr>
          <w:bCs/>
          <w:b/>
        </w:rPr>
        <w:t xml:space="preserve">Toronto, Canada</w:t>
      </w:r>
      <w:r>
        <w:t xml:space="preserve">, face distinct challenges that impact their efficiency and output.</w:t>
      </w:r>
      <w:r>
        <w:t xml:space="preserve"> </w:t>
      </w:r>
      <w:r>
        <w:rPr>
          <w:bCs/>
          <w:b/>
        </w:rPr>
        <w:t xml:space="preserve">A. Funding Volatility and Grant Competition:</w:t>
      </w:r>
      <w:r>
        <w:br/>
      </w:r>
      <w:r>
        <w:t xml:space="preserve">Securing sustainable funding remains a primary concern. While agencies such as the Canadian Institutes of Health Research (CIHR) provide substantial support, competition is fierce. Researchers must often split their time between conducting experiments and writing grants to ensure continuity of their work. This administrative burden can detract from direct research activities.</w:t>
      </w:r>
    </w:p>
    <w:p>
      <w:pPr>
        <w:pStyle w:val="BodyText"/>
      </w:pPr>
      <w:r>
        <w:rPr>
          <w:bCs/>
          <w:b/>
        </w:rPr>
        <w:t xml:space="preserve">B. Ethical Regulatory Compliance:</w:t>
      </w:r>
      <w:r>
        <w:br/>
      </w:r>
      <w:r>
        <w:t xml:space="preserve">Operating in</w:t>
      </w:r>
      <w:r>
        <w:t xml:space="preserve"> </w:t>
      </w:r>
      <w:r>
        <w:rPr>
          <w:bCs/>
          <w:b/>
        </w:rPr>
        <w:t xml:space="preserve">Canada</w:t>
      </w:r>
      <w:r>
        <w:t xml:space="preserve"> </w:t>
      </w:r>
      <w:r>
        <w:t xml:space="preserve">requires strict adherence to the Tri-Council Policy Statement: Ethical Conduct for Research Involving Humans (TCPS 2). For medical researchers, navigating the ethical review boards at each institution is complex and time-consuming. Ensuring patient privacy under Canadian laws (such as PIPEDA) adds another layer of complexity, particularly when handling large-scale health data.</w:t>
      </w:r>
    </w:p>
    <w:p>
      <w:pPr>
        <w:pStyle w:val="BodyText"/>
      </w:pPr>
      <w:r>
        <w:rPr>
          <w:bCs/>
          <w:b/>
        </w:rPr>
        <w:t xml:space="preserve">C. Talent Retention and Brain Drain:</w:t>
      </w:r>
      <w:r>
        <w:br/>
      </w:r>
      <w:r>
        <w:t xml:space="preserve">While</w:t>
      </w:r>
      <w:r>
        <w:t xml:space="preserve"> </w:t>
      </w:r>
      <w:r>
        <w:rPr>
          <w:bCs/>
          <w:b/>
        </w:rPr>
        <w:t xml:space="preserve">Toronto</w:t>
      </w:r>
      <w:r>
        <w:t xml:space="preserve"> </w:t>
      </w:r>
      <w:r>
        <w:t xml:space="preserve">attracts global talent, retaining it is challenging due to competition from the United States and other international hubs. High-cost living in Toronto, while improving compared to other major North American cities, still poses a barrier for early-career researchers. Institutions must offer competitive salaries and clear career progression pathways to maintain a stable research workforce.</w:t>
      </w:r>
    </w:p>
    <w:bookmarkEnd w:id="23"/>
    <w:bookmarkStart w:id="24" w:name="X4f5456ff7402308c63693b437d5380a49e9c0fb"/>
    <w:p>
      <w:pPr>
        <w:pStyle w:val="Heading2"/>
      </w:pPr>
      <w:r>
        <w:t xml:space="preserve">V. Strategic Initiatives and Future Directions</w:t>
      </w:r>
    </w:p>
    <w:p>
      <w:pPr>
        <w:pStyle w:val="FirstParagraph"/>
      </w:pPr>
      <w:r>
        <w:t xml:space="preserve">To address these challenges,</w:t>
      </w:r>
      <w:r>
        <w:t xml:space="preserve"> </w:t>
      </w:r>
      <w:r>
        <w:rPr>
          <w:bCs/>
          <w:b/>
        </w:rPr>
        <w:t xml:space="preserve">Toronto</w:t>
      </w:r>
      <w:r>
        <w:t xml:space="preserve">-based institutions are implementing strategic initiatives focused on interdisciplinary collaboration and digital health integration. The rise of Artificial Intelligence (AI) in healthcare presents a new frontier for medical researchers. In</w:t>
      </w:r>
      <w:r>
        <w:t xml:space="preserve"> </w:t>
      </w:r>
      <w:r>
        <w:rPr>
          <w:bCs/>
          <w:b/>
        </w:rPr>
        <w:t xml:space="preserve">Canada</w:t>
      </w:r>
      <w:r>
        <w:t xml:space="preserve">, Toronto is emerging as a global center for AI in medicine, with researchers leveraging machine learning to predict disease outcomes and personalize treatment plans.</w:t>
      </w:r>
      <w:r>
        <w:t xml:space="preserve"> </w:t>
      </w:r>
      <w:r>
        <w:t xml:space="preserve">Furthermore, there is a growing emphasis on Indigenous health research and equity-focused studies. Researchers are increasingly called upon to design studies that are inclusive of diverse populations, ensuring that medical advancements benefit all segments of the</w:t>
      </w:r>
      <w:r>
        <w:t xml:space="preserve"> </w:t>
      </w:r>
      <w:r>
        <w:rPr>
          <w:bCs/>
          <w:b/>
        </w:rPr>
        <w:t xml:space="preserve">Toronto</w:t>
      </w:r>
      <w:r>
        <w:t xml:space="preserve"> </w:t>
      </w:r>
      <w:r>
        <w:t xml:space="preserve">community. This shift requires a nuanced understanding of social determinants of health, moving beyond pure biological factors.</w:t>
      </w:r>
    </w:p>
    <w:bookmarkEnd w:id="24"/>
    <w:bookmarkStart w:id="25" w:name="Xee642bca3a2215d57dfd920f62ddc59fb319b4d"/>
    <w:p>
      <w:pPr>
        <w:pStyle w:val="Heading2"/>
      </w:pPr>
      <w:r>
        <w:t xml:space="preserve">VI. Conclusion: The Vital Role of the Medical Researcher</w:t>
      </w:r>
    </w:p>
    <w:p>
      <w:pPr>
        <w:pStyle w:val="FirstParagraph"/>
      </w:pPr>
      <w:r>
        <w:t xml:space="preserve">In conclusion, the</w:t>
      </w:r>
      <w:r>
        <w:t xml:space="preserve"> </w:t>
      </w:r>
      <w:r>
        <w:rPr>
          <w:bCs/>
          <w:b/>
        </w:rPr>
        <w:t xml:space="preserve">Medical Researcher</w:t>
      </w:r>
      <w:r>
        <w:t xml:space="preserve"> </w:t>
      </w:r>
      <w:r>
        <w:t xml:space="preserve">is an indispensable asset to the healthcare system in</w:t>
      </w:r>
      <w:r>
        <w:t xml:space="preserve"> </w:t>
      </w:r>
      <w:r>
        <w:rPr>
          <w:bCs/>
          <w:b/>
        </w:rPr>
        <w:t xml:space="preserve">Toronto, Canada</w:t>
      </w:r>
      <w:r>
        <w:t xml:space="preserve">. They are driven by a mandate to push the boundaries of human health through rigorous inquiry and innovation. While facing challenges related to funding, regulation, and retention, these professionals thrive within Toronto’s vibrant academic medical center ecosystem.</w:t>
      </w:r>
      <w:r>
        <w:t xml:space="preserve"> </w:t>
      </w:r>
      <w:r>
        <w:t xml:space="preserve">The future of medicine in</w:t>
      </w:r>
      <w:r>
        <w:t xml:space="preserve"> </w:t>
      </w:r>
      <w:r>
        <w:rPr>
          <w:bCs/>
          <w:b/>
        </w:rPr>
        <w:t xml:space="preserve">Toronto</w:t>
      </w:r>
      <w:r>
        <w:t xml:space="preserve"> </w:t>
      </w:r>
      <w:r>
        <w:t xml:space="preserve">will be defined by how well these researchers can harness new technologies like AI, foster cross-disciplinary partnerships, and maintain ethical integrity. For policymakers and healthcare leaders in</w:t>
      </w:r>
      <w:r>
        <w:t xml:space="preserve"> </w:t>
      </w:r>
      <w:r>
        <w:rPr>
          <w:bCs/>
          <w:b/>
        </w:rPr>
        <w:t xml:space="preserve">Canada</w:t>
      </w:r>
      <w:r>
        <w:t xml:space="preserve">, supporting the infrastructure and resources available to medical researchers is not just an investment in science, but a commitment to the well-being of millions of Canadians. By continuing to support this vital workforce,</w:t>
      </w:r>
      <w:r>
        <w:t xml:space="preserve"> </w:t>
      </w:r>
      <w:r>
        <w:rPr>
          <w:bCs/>
          <w:b/>
        </w:rPr>
        <w:t xml:space="preserve">Toronto</w:t>
      </w:r>
      <w:r>
        <w:t xml:space="preserve"> </w:t>
      </w:r>
      <w:r>
        <w:t xml:space="preserve">will remain at the forefront of global medical discovery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2026-07-29T15:59:33Z</dcterms:created>
  <dcterms:modified xsi:type="dcterms:W3CDTF">2026-07-29T15:59:33Z</dcterms:modified>
</cp:coreProperties>
</file>

<file path=docProps/custom.xml><?xml version="1.0" encoding="utf-8"?>
<Properties xmlns="http://schemas.openxmlformats.org/officeDocument/2006/custom-properties" xmlns:vt="http://schemas.openxmlformats.org/officeDocument/2006/docPropsVTypes"/>
</file>