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6" w:name="Xaafc8944fcf1d595ef665a6c5af97ac475e994d"/>
    <w:p>
      <w:pPr>
        <w:pStyle w:val="Heading1"/>
      </w:pPr>
      <w:r>
        <w:t xml:space="preserve">Case Study: The Strategic Role of the Medical Researcher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w:t>
      </w:r>
    </w:p>
    <w:p>
      <w:pPr>
        <w:pStyle w:val="BodyText"/>
      </w:pPr>
      <w:r>
        <w:t xml:space="preserve">The Evolution and Impact of the Medical Researcher within the dynamic healthcare ecosystem of China Guangzhou. This document explores how a Medical Researcher operates, influences, and contributes to public health outcomes in this specific geographic location.</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Medical Researcher</w:t>
      </w:r>
      <w:r>
        <w:t xml:space="preserve"> </w:t>
      </w:r>
      <w:r>
        <w:t xml:space="preserve">operating within the unique socio-economic and regulatory landscape of</w:t>
      </w:r>
      <w:r>
        <w:t xml:space="preserve"> </w:t>
      </w:r>
      <w:r>
        <w:rPr>
          <w:bCs/>
          <w:b/>
        </w:rPr>
        <w:t xml:space="preserve">China Guangzhou</w:t>
      </w:r>
      <w:r>
        <w:t xml:space="preserve">. As a pivotal hub for biotechnology, international trade, and healthcare innovation in Southern China, Guangzhou presents a distinct environment for scientific inquiry. The primary objective of this analysis is to understand how the responsibilities, challenges, and contributions of a</w:t>
      </w:r>
      <w:r>
        <w:t xml:space="preserve"> </w:t>
      </w:r>
      <w:r>
        <w:rPr>
          <w:bCs/>
          <w:b/>
        </w:rPr>
        <w:t xml:space="preserve">Medical Researcher</w:t>
      </w:r>
      <w:r>
        <w:t xml:space="preserve"> </w:t>
      </w:r>
      <w:r>
        <w:t xml:space="preserve">are shaped by the local context of</w:t>
      </w:r>
      <w:r>
        <w:t xml:space="preserve"> </w:t>
      </w:r>
      <w:r>
        <w:rPr>
          <w:bCs/>
          <w:b/>
        </w:rPr>
        <w:t xml:space="preserve">China Guangzhou</w:t>
      </w:r>
      <w:r>
        <w:t xml:space="preserve">, while simultaneously impacting broader national and global health standards.</w:t>
      </w:r>
    </w:p>
    <w:p>
      <w:pPr>
        <w:pStyle w:val="BodyText"/>
      </w:pPr>
      <w:r>
        <w:t xml:space="preserve">The study highlights that the modern Medical Researcher in this region is not merely an academic observer but a critical agent of change, bridging traditional Chinese medicine with cutting-edge Western biotechnological methodologies. By focusing on the specific demands and opportunities present in</w:t>
      </w:r>
      <w:r>
        <w:t xml:space="preserve"> </w:t>
      </w:r>
      <w:r>
        <w:rPr>
          <w:bCs/>
          <w:b/>
        </w:rPr>
        <w:t xml:space="preserve">China Guangzhou</w:t>
      </w:r>
      <w:r>
        <w:t xml:space="preserve">, we can derive valuable insights into effective research management, ethical compliance, and translational medicine strategies.</w:t>
      </w:r>
    </w:p>
    <w:bookmarkEnd w:id="20"/>
    <w:bookmarkStart w:id="21" w:name="X44cac5db588f946fdf7cbb52ecbb337c96b83f2"/>
    <w:p>
      <w:pPr>
        <w:pStyle w:val="Heading2"/>
      </w:pPr>
      <w:r>
        <w:t xml:space="preserve">2. Background: The Landscape of Medical Research in China Guangzhou</w:t>
      </w:r>
    </w:p>
    <w:p>
      <w:pPr>
        <w:pStyle w:val="FirstParagraph"/>
      </w:pPr>
      <w:r>
        <w:t xml:space="preserve">To fully appreciate the function of a</w:t>
      </w:r>
      <w:r>
        <w:t xml:space="preserve"> </w:t>
      </w:r>
      <w:r>
        <w:rPr>
          <w:bCs/>
          <w:b/>
        </w:rPr>
        <w:t xml:space="preserve">Medical Researcher</w:t>
      </w:r>
      <w:r>
        <w:t xml:space="preserve">, one must first understand the ecosystem of</w:t>
      </w:r>
      <w:r>
        <w:t xml:space="preserve"> </w:t>
      </w:r>
      <w:r>
        <w:rPr>
          <w:bCs/>
          <w:b/>
        </w:rPr>
        <w:t xml:space="preserve">China Guangzhou</w:t>
      </w:r>
      <w:r>
        <w:t xml:space="preserve">. As the capital of Guangdong Province and a core city in the Pearl River Delta, Guangzhou serves as a gateway for foreign investment and technological exchange between China and Southeast Asia. The city hosts some of China’s most prestigious medical institutions, including Sun Yat-sen Memorial Hospital and Guangzhou Medical University.</w:t>
      </w:r>
    </w:p>
    <w:p>
      <w:pPr>
        <w:pStyle w:val="BodyText"/>
      </w:pPr>
      <w:r>
        <w:t xml:space="preserve">In recent years, the local government in</w:t>
      </w:r>
      <w:r>
        <w:t xml:space="preserve"> </w:t>
      </w:r>
      <w:r>
        <w:rPr>
          <w:bCs/>
          <w:b/>
        </w:rPr>
        <w:t xml:space="preserve">China Guangzhou</w:t>
      </w:r>
      <w:r>
        <w:t xml:space="preserve"> </w:t>
      </w:r>
      <w:r>
        <w:t xml:space="preserve">has aggressively promoted policies to foster innovation in the biomedical sector. This includes tax incentives for biotech startups and robust funding for clinical trials. Consequently, the volume of research activity has surged, placing immense pressure on individual researchers to produce high-impact data while adhering to increasingly strict ethical and regulatory frameworks.</w:t>
      </w:r>
    </w:p>
    <w:bookmarkEnd w:id="21"/>
    <w:bookmarkStart w:id="22" w:name="profile-of-the-medical-researcher"/>
    <w:p>
      <w:pPr>
        <w:pStyle w:val="Heading2"/>
      </w:pPr>
      <w:r>
        <w:t xml:space="preserve">3. Profile of the Medical Researcher</w:t>
      </w:r>
    </w:p>
    <w:p>
      <w:pPr>
        <w:pStyle w:val="FirstParagraph"/>
      </w:pPr>
      <w:r>
        <w:t xml:space="preserve">The subject of this case study is a senior-level Medical Researcher employed at a joint-venture research institute located in the Tianhe District of</w:t>
      </w:r>
      <w:r>
        <w:t xml:space="preserve"> </w:t>
      </w:r>
      <w:r>
        <w:rPr>
          <w:bCs/>
          <w:b/>
        </w:rPr>
        <w:t xml:space="preserve">China Guangzhou</w:t>
      </w:r>
      <w:r>
        <w:t xml:space="preserve">. This professional holds dual qualifications in clinical medicine and public health data science. Their role is defined by three core pillars:</w:t>
      </w:r>
    </w:p>
    <w:p>
      <w:pPr>
        <w:numPr>
          <w:ilvl w:val="0"/>
          <w:numId w:val="1001"/>
        </w:numPr>
        <w:pStyle w:val="Compact"/>
      </w:pPr>
      <w:r>
        <w:rPr>
          <w:bCs/>
          <w:b/>
        </w:rPr>
        <w:t xml:space="preserve">Clinical Translation:</w:t>
      </w:r>
    </w:p>
    <w:p>
      <w:pPr>
        <w:numPr>
          <w:ilvl w:val="0"/>
          <w:numId w:val="1000"/>
        </w:numPr>
        <w:pStyle w:val="Compact"/>
      </w:pPr>
      <w:r>
        <w:t xml:space="preserve">Bridging the gap between laboratory findings and patient care within local hospitals.</w:t>
      </w:r>
    </w:p>
    <w:p>
      <w:pPr>
        <w:numPr>
          <w:ilvl w:val="0"/>
          <w:numId w:val="1001"/>
        </w:numPr>
        <w:pStyle w:val="Compact"/>
      </w:pPr>
      <w:r>
        <w:rPr>
          <w:bCs/>
          <w:b/>
        </w:rPr>
        <w:t xml:space="preserve">Epidemiological Analysis:</w:t>
      </w:r>
    </w:p>
    <w:p>
      <w:pPr>
        <w:numPr>
          <w:ilvl w:val="0"/>
          <w:numId w:val="1000"/>
        </w:numPr>
        <w:pStyle w:val="Compact"/>
      </w:pPr>
      <w:r>
        <w:t xml:space="preserve">Monitoring disease patterns specific to the subtropical climate of Guangzhou, such as vector-borne diseases.</w:t>
      </w:r>
    </w:p>
    <w:p>
      <w:pPr>
        <w:numPr>
          <w:ilvl w:val="0"/>
          <w:numId w:val="1001"/>
        </w:numPr>
        <w:pStyle w:val="Compact"/>
      </w:pPr>
      <w:r>
        <w:t xml:space="preserve">Cross-Cultural Collaboration:</w:t>
      </w:r>
    </w:p>
    <w:p>
      <w:pPr>
        <w:numPr>
          <w:ilvl w:val="0"/>
          <w:numId w:val="1000"/>
        </w:numPr>
        <w:pStyle w:val="Compact"/>
      </w:pPr>
      <w:r>
        <w:t xml:space="preserve">Navigating communication between international partners and local healthcare providers in</w:t>
      </w:r>
      <w:r>
        <w:t xml:space="preserve"> </w:t>
      </w:r>
      <w:r>
        <w:rPr>
          <w:bCs/>
          <w:b/>
        </w:rPr>
        <w:t xml:space="preserve">China Guangzhou</w:t>
      </w:r>
      <w:r>
        <w:t xml:space="preserve">.</w:t>
      </w:r>
    </w:p>
    <w:bookmarkEnd w:id="22"/>
    <w:bookmarkStart w:id="24" w:name="X1d6400880bcdc642fd296863fdbba3b26d0a2f9"/>
    <w:p>
      <w:pPr>
        <w:pStyle w:val="Heading2"/>
      </w:pPr>
      <w:r>
        <w:t xml:space="preserve">4. Key Challenges Faced by the Medical Researcher</w:t>
      </w:r>
    </w:p>
    <w:p>
      <w:pPr>
        <w:pStyle w:val="FirstParagraph"/>
      </w:pPr>
      <w:r>
        <w:t xml:space="preserve">The operational environment for a Medical Researcher in this region presents several distinct challenges that differ significantly from Western contexts.</w:t>
      </w:r>
    </w:p>
    <w:bookmarkStart w:id="23" w:name="X0030355217ade9794575ca682b0c629ee615c3a"/>
    <w:p>
      <w:pPr>
        <w:pStyle w:val="Heading3"/>
      </w:pPr>
      <w:r>
        <w:rPr>
          <w:bCs/>
          <w:b/>
        </w:rPr>
        <w:t xml:space="preserve">A. Regulatory Complexity in China Guangzhou</w:t>
      </w:r>
    </w:p>
    <w:p>
      <w:pPr>
        <w:pStyle w:val="FirstParagraph"/>
      </w:pPr>
      <w:r>
        <w:t xml:space="preserve">Navigating the regulatory approval process for clinical trials is often more complex than anticipated. The Medical Researcher must ensure strict compliance with the National Medical Products Administration (NMPA) guidelines, which have become increasingly rigorous since recent healthcare reforms. In</w:t>
      </w:r>
      <w:r>
        <w:t xml:space="preserve"> </w:t>
      </w:r>
      <w:r>
        <w:rPr>
          <w:bCs/>
          <w:b/>
        </w:rPr>
        <w:t xml:space="preserve">China Guangzhou</w:t>
      </w:r>
      <w:r>
        <w:t xml:space="preserve">, local health bureaus may also impose additional requirements tailored to regional public health priorities, requiring the researcher to maintain constant dialogue with multiple administrative bodies.</w:t>
      </w:r>
    </w:p>
    <w:p>
      <w:pPr>
        <w:pStyle w:val="BodyText"/>
      </w:pPr>
      <w:r>
        <w:rPr>
          <w:bCs/>
          <w:b/>
        </w:rPr>
        <w:t xml:space="preserve">B. Ethical Considerations and Data Privacy</w:t>
      </w:r>
    </w:p>
    <w:p>
      <w:pPr>
        <w:pStyle w:val="BodyText"/>
      </w:pPr>
      <w:r>
        <w:t xml:space="preserve">With the introduction of China's Personal Information Protection Law (PIPL), Medical Researchers face heightened responsibilities regarding patient data. In a densely populated urban center like</w:t>
      </w:r>
      <w:r>
        <w:t xml:space="preserve"> </w:t>
      </w:r>
      <w:r>
        <w:rPr>
          <w:bCs/>
          <w:b/>
        </w:rPr>
        <w:t xml:space="preserve">China Guangzhou</w:t>
      </w:r>
      <w:r>
        <w:t xml:space="preserve">, the risk of data breaches is higher due to digital integration in healthcare systems. The researcher must implement robust cybersecurity measures while ensuring that research integrity is maintained without compromising patient confidentiality.</w:t>
      </w:r>
    </w:p>
    <w:p>
      <w:pPr>
        <w:pStyle w:val="BodyText"/>
      </w:pPr>
      <w:r>
        <w:t xml:space="preserve">C. Integration of Traditional and Modern Medicine</w:t>
      </w:r>
    </w:p>
    <w:p>
      <w:pPr>
        <w:pStyle w:val="BodyText"/>
      </w:pPr>
      <w:r>
        <w:t xml:space="preserve">A unique aspect of practicing as a Medical Researcher in China is the necessity to integrate Traditional Chinese Medicine (TCM) with modern evidence-based medicine. Researchers in</w:t>
      </w:r>
      <w:r>
        <w:t xml:space="preserve"> </w:t>
      </w:r>
      <w:r>
        <w:rPr>
          <w:bCs/>
          <w:b/>
        </w:rPr>
        <w:t xml:space="preserve">China Guangzhou</w:t>
      </w:r>
      <w:r>
        <w:t xml:space="preserve"> </w:t>
      </w:r>
      <w:r>
        <w:t xml:space="preserve">often design studies that evaluate the efficacy of herbal compounds using molecular biology techniques, requiring interdisciplinary expertise and sensitivity to cultural traditions.</w:t>
      </w:r>
    </w:p>
    <w:bookmarkEnd w:id="23"/>
    <w:bookmarkEnd w:id="24"/>
    <w:bookmarkStart w:id="25" w:name="strategic-interventions-and-solutions"/>
    <w:p>
      <w:pPr>
        <w:pStyle w:val="Heading2"/>
      </w:pPr>
      <w:r>
        <w:t xml:space="preserve">5. Strategic Interventions and Solutions</w:t>
      </w:r>
    </w:p>
    <w:p>
      <w:pPr>
        <w:pStyle w:val="FirstParagraph"/>
      </w:pPr>
      <w:r>
        <w:t xml:space="preserve">To address these challenges, the Medical Researcher implemented several strategic interventions tailored to the local context of</w:t>
      </w:r>
      <w:r>
        <w:t xml:space="preserve"> </w:t>
      </w:r>
      <w:r>
        <w:rPr>
          <w:bCs/>
          <w:b/>
        </w:rPr>
        <w:t xml:space="preserve">China Guangzhou</w:t>
      </w:r>
      <w:r>
        <w:t xml:space="preserve">.</w:t>
      </w:r>
    </w:p>
    <w:p>
      <w:pPr>
        <w:numPr>
          <w:ilvl w:val="0"/>
          <w:numId w:val="1002"/>
        </w:numPr>
        <w:pStyle w:val="Compact"/>
      </w:pPr>
      <w:r>
        <w:t xml:space="preserve">Digital Infrastructure Upgrade:</w:t>
      </w:r>
    </w:p>
    <w:p>
      <w:pPr>
        <w:numPr>
          <w:ilvl w:val="0"/>
          <w:numId w:val="1000"/>
        </w:numPr>
        <w:pStyle w:val="Compact"/>
      </w:pPr>
      <w:r>
        <w:t xml:space="preserve">The institute invested in a secure, cloud-based data management system compliant with PIPL standards. This allowed for real-time monitoring of clinical trial data while ensuring that all information remained within Chinese jurisdictional boundaries.</w:t>
      </w:r>
    </w:p>
    <w:p>
      <w:pPr>
        <w:numPr>
          <w:ilvl w:val="0"/>
          <w:numId w:val="1002"/>
        </w:numPr>
        <w:pStyle w:val="Compact"/>
      </w:pPr>
      <w:r>
        <w:t xml:space="preserve">Stakeholder Engagement Workshops:</w:t>
      </w:r>
    </w:p>
    <w:p>
      <w:pPr>
        <w:numPr>
          <w:ilvl w:val="0"/>
          <w:numId w:val="1000"/>
        </w:numPr>
        <w:pStyle w:val="Compact"/>
      </w:pPr>
      <w:r>
        <w:t xml:space="preserve">Regular workshops were organized involving local hospital administrators, government health officials, and international collaborators. These meetings helped align expectations regarding research timelines and regulatory submissions specific to the Guangzhou region.</w:t>
      </w:r>
    </w:p>
    <w:p>
      <w:pPr>
        <w:numPr>
          <w:ilvl w:val="0"/>
          <w:numId w:val="1002"/>
        </w:numPr>
        <w:pStyle w:val="Compact"/>
      </w:pPr>
      <w:r>
        <w:t xml:space="preserve">Multidisciplinary Research Teams:</w:t>
      </w:r>
    </w:p>
    <w:p>
      <w:pPr>
        <w:numPr>
          <w:ilvl w:val="0"/>
          <w:numId w:val="1000"/>
        </w:numPr>
        <w:pStyle w:val="Compact"/>
      </w:pPr>
      <w:r>
        <w:t xml:space="preserve">The Medical Researcher formed teams comprising both Western-trained biologists and TCM practitioners. This collaborative approach fostered innovative methodologies, such as using network pharmacology to analyze complex herbal formulations, thereby enhancing the scientific validity of traditional practices.</w:t>
      </w:r>
    </w:p>
    <w:p>
      <w:pPr>
        <w:pStyle w:val="FirstParagraph"/>
      </w:pPr>
      <w:r>
        <w:t xml:space="preserve">6. Outcomes and Impact</w:t>
      </w:r>
    </w:p>
    <w:p>
      <w:pPr>
        <w:pStyle w:val="BodyText"/>
      </w:pPr>
      <w:r>
        <w:t xml:space="preserve">The initiatives led by the Medical Researcher yielded significant results over a 24-month period.</w:t>
      </w:r>
    </w:p>
    <w:p>
      <w:pPr>
        <w:numPr>
          <w:ilvl w:val="0"/>
          <w:numId w:val="1003"/>
        </w:numPr>
        <w:pStyle w:val="Compact"/>
      </w:pPr>
      <w:r>
        <w:t xml:space="preserve">Faster Approval Times:</w:t>
      </w:r>
    </w:p>
    <w:p>
      <w:pPr>
        <w:numPr>
          <w:ilvl w:val="0"/>
          <w:numId w:val="1000"/>
        </w:numPr>
        <w:pStyle w:val="Compact"/>
      </w:pPr>
      <w:r>
        <w:t xml:space="preserve">Due to proactive engagement with local regulators in</w:t>
      </w:r>
    </w:p>
    <w:p>
      <w:pPr>
        <w:numPr>
          <w:ilvl w:val="0"/>
          <w:numId w:val="1000"/>
        </w:numPr>
        <w:pStyle w:val="Compact"/>
      </w:pPr>
      <w:r>
        <w:t xml:space="preserve">China Guangzhou</w:t>
      </w:r>
    </w:p>
    <w:p>
      <w:pPr>
        <w:numPr>
          <w:ilvl w:val="0"/>
          <w:numId w:val="1000"/>
        </w:numPr>
        <w:pStyle w:val="Compact"/>
      </w:pPr>
      <w:r>
        <w:t xml:space="preserve">, the average time for ethics committee approval decreased by 30%.</w:t>
      </w:r>
    </w:p>
    <w:p>
      <w:pPr>
        <w:numPr>
          <w:ilvl w:val="0"/>
          <w:numId w:val="1003"/>
        </w:numPr>
      </w:pPr>
      <w:r>
        <w:rPr>
          <w:bCs/>
          <w:b/>
        </w:rPr>
        <w:t xml:space="preserve">High-Impact Publications:</w:t>
      </w:r>
    </w:p>
    <w:p>
      <w:pPr>
        <w:numPr>
          <w:ilvl w:val="0"/>
          <w:numId w:val="1000"/>
        </w:numPr>
      </w:pPr>
      <w:r>
        <w:t xml:space="preserve">The research team published five papers in high-impact international journals, focusing on infectious disease control in tropical urban environments. These publications raised the profile of the institute within both</w:t>
      </w:r>
      <w:r>
        <w:t xml:space="preserve"> </w:t>
      </w:r>
      <w:r>
        <w:rPr>
          <w:bCs/>
          <w:b/>
        </w:rPr>
        <w:t xml:space="preserve">China Guangzhou</w:t>
      </w:r>
      <w:r>
        <w:t xml:space="preserve"> </w:t>
      </w:r>
      <w:r>
        <w:t xml:space="preserve">and the global scientific community.</w:t>
      </w:r>
    </w:p>
    <w:p>
      <w:pPr>
        <w:numPr>
          <w:ilvl w:val="0"/>
          <w:numId w:val="1003"/>
        </w:numPr>
        <w:pStyle w:val="Compact"/>
      </w:pPr>
      <w:r>
        <w:t xml:space="preserve">Patient Health Improvements:</w:t>
      </w:r>
    </w:p>
    <w:p>
      <w:pPr>
        <w:numPr>
          <w:ilvl w:val="0"/>
          <w:numId w:val="1000"/>
        </w:numPr>
        <w:pStyle w:val="Compact"/>
      </w:pPr>
      <w:r>
        <w:t xml:space="preserve">Clinical trials led by the Medical Researcher resulted in new treatment protocols for local respiratory conditions, directly benefiting over 5,000 patients in partner hospitals across Guangzhou.</w:t>
      </w:r>
    </w:p>
    <w:p>
      <w:pPr>
        <w:pStyle w:val="FirstParagraph"/>
      </w:pPr>
      <w:r>
        <w:t xml:space="preserve">7. Discussion: The Broader Implications</w:t>
      </w:r>
    </w:p>
    <w:p>
      <w:pPr>
        <w:pStyle w:val="BodyText"/>
      </w:pPr>
      <w:r>
        <w:t xml:space="preserve">The success of this Medical Researcher underscores the importance of contextual adaptation in scientific inquiry. A researcher cannot operate effectively in a vacuum; they must be deeply embedded in the local healthcare fabric.</w:t>
      </w:r>
    </w:p>
    <w:p>
      <w:pPr>
        <w:pStyle w:val="BodyText"/>
      </w:pPr>
      <w:r>
        <w:t xml:space="preserve">In the context of</w:t>
      </w:r>
      <w:r>
        <w:t xml:space="preserve"> </w:t>
      </w:r>
      <w:r>
        <w:rPr>
          <w:bCs/>
          <w:b/>
        </w:rPr>
        <w:t xml:space="preserve">China Guangzhou</w:t>
      </w:r>
      <w:r>
        <w:t xml:space="preserve">, this means understanding not only the scientific questions but also the political, cultural, and regulatory nuances that dictate how research is conducted. The Medical Researcher acts as a catalyst for modernization while respecting local traditions. This dual competency is increasingly vital as China aims to position itself as a global leader in biomedical innovation.</w:t>
      </w:r>
    </w:p>
    <w:p>
      <w:pPr>
        <w:pStyle w:val="BodyText"/>
      </w:pPr>
      <w:r>
        <w:t xml:space="preserve">Furthermore, the case highlights that efficiency in medical research is not solely derived from technological advancement but also from effective stakeholder management and regulatory navigation. For other institutions looking to emulate this success, the lesson is clear: investing in relationships with local authorities and integrating cultural competence into research design are as critical as laboratory equipment.</w:t>
      </w:r>
    </w:p>
    <w:p>
      <w:pPr>
        <w:pStyle w:val="BodyText"/>
      </w:pPr>
      <w:r>
        <w:t xml:space="preserve">8. Conclusion</w:t>
      </w:r>
    </w:p>
    <w:p>
      <w:pPr>
        <w:pStyle w:val="BodyText"/>
      </w:pPr>
      <w:r>
        <w:t xml:space="preserve">This case study demonstrates that the role of a Medical Researcher extends far beyond data collection and analysis. In the dynamic environment of</w:t>
      </w:r>
      <w:r>
        <w:t xml:space="preserve"> </w:t>
      </w:r>
      <w:r>
        <w:rPr>
          <w:bCs/>
          <w:b/>
        </w:rPr>
        <w:t xml:space="preserve">China Guangzhou</w:t>
      </w:r>
      <w:r>
        <w:t xml:space="preserve">, a Medical Researcher serves as an innovator, regulator liaison, and cultural bridge.</w:t>
      </w:r>
    </w:p>
    <w:p>
      <w:pPr>
        <w:pStyle w:val="BodyText"/>
      </w:pPr>
      <w:r>
        <w:t xml:space="preserve">The challenges faced—ranging from regulatory compliance to ethical data management—are substantial but surmountable through strategic planning and local engagement. The outcomes achieved confirm that when a Medical Researcher is empowered with the right tools and support within the specific context of</w:t>
      </w:r>
    </w:p>
    <w:p>
      <w:pPr>
        <w:pStyle w:val="BodyText"/>
      </w:pPr>
      <w:r>
        <w:t xml:space="preserve">China Guangzhou</w:t>
      </w:r>
    </w:p>
    <w:p>
      <w:pPr>
        <w:pStyle w:val="BodyText"/>
      </w:pPr>
      <w:r>
        <w:t xml:space="preserve">, they can drive significant advancements in public health.</w:t>
      </w:r>
    </w:p>
    <w:p>
      <w:pPr>
        <w:pStyle w:val="BodyText"/>
      </w:pPr>
      <w:r>
        <w:t xml:space="preserve">Future research should focus on longitudinal studies to track the long-term sustainability of these research models. Additionally, expanding this case study framework to other major Chinese cities such as Shanghai and Beijing could provide a comparative analysis of how regional differences influence the work of Medical Researchers across China.</w:t>
      </w:r>
    </w:p>
    <w:p>
      <w:pPr>
        <w:pStyle w:val="BodyText"/>
      </w:pPr>
      <w:r>
        <w:t xml:space="preserve">9. Recommendations for Future Practice</w:t>
      </w:r>
    </w:p>
    <w:p>
      <w:pPr>
        <w:pStyle w:val="BodyText"/>
      </w:pPr>
      <w:r>
        <w:t xml:space="preserve">Based on the findings from this case study, the following recommendations are proposed for Medical Researchers operating in similar high-growth healthcare markets:</w:t>
      </w:r>
    </w:p>
    <w:p>
      <w:pPr>
        <w:numPr>
          <w:ilvl w:val="0"/>
          <w:numId w:val="1004"/>
        </w:numPr>
        <w:pStyle w:val="Compact"/>
      </w:pPr>
      <w:r>
        <w:t xml:space="preserve">Prioritize Local Regulatory Education:</w:t>
      </w:r>
    </w:p>
    <w:p>
      <w:pPr>
        <w:numPr>
          <w:ilvl w:val="0"/>
          <w:numId w:val="1000"/>
        </w:numPr>
        <w:pStyle w:val="Compact"/>
      </w:pPr>
      <w:r>
        <w:t xml:space="preserve">Researchers should undergo specialized training on local health laws and regulations before initiating projects.</w:t>
      </w:r>
    </w:p>
    <w:p>
      <w:pPr>
        <w:numPr>
          <w:ilvl w:val="0"/>
          <w:numId w:val="1004"/>
        </w:numPr>
      </w:pPr>
      <w:r>
        <w:rPr>
          <w:bCs/>
          <w:b/>
        </w:rPr>
        <w:t xml:space="preserve">Foster Interdisciplinary Collaboration:</w:t>
      </w:r>
    </w:p>
    <w:p>
      <w:pPr>
        <w:numPr>
          <w:ilvl w:val="0"/>
          <w:numId w:val="1000"/>
        </w:numPr>
      </w:pPr>
      <w:r>
        <w:t xml:space="preserve">Encourage partnerships between traditional medicine practitioners and modern scientists to unlock novel therapeutic avenues.</w:t>
      </w:r>
    </w:p>
    <w:p>
      <w:pPr>
        <w:numPr>
          <w:ilvl w:val="0"/>
          <w:numId w:val="1004"/>
        </w:numPr>
        <w:pStyle w:val="Compact"/>
      </w:pPr>
      <w:r>
        <w:t xml:space="preserve">Leverage Technological Infrastructure:</w:t>
      </w:r>
    </w:p>
    <w:p>
      <w:pPr>
        <w:numPr>
          <w:ilvl w:val="0"/>
          <w:numId w:val="1000"/>
        </w:numPr>
        <w:pStyle w:val="Compact"/>
      </w:pPr>
      <w:r>
        <w:t xml:space="preserve">Invest in secure, compliant data systems that facilitate efficient research operations while ensuring patient privacy.</w:t>
      </w:r>
    </w:p>
    <w:p>
      <w:pPr>
        <w:numPr>
          <w:ilvl w:val="0"/>
          <w:numId w:val="1004"/>
        </w:numPr>
      </w:pPr>
      <w:r>
        <w:rPr>
          <w:bCs/>
          <w:b/>
        </w:rPr>
        <w:t xml:space="preserve">Engage Community Stakeholders Early:</w:t>
      </w:r>
    </w:p>
    <w:p>
      <w:pPr>
        <w:numPr>
          <w:ilvl w:val="0"/>
          <w:numId w:val="1000"/>
        </w:numPr>
      </w:pPr>
      <w:r>
        <w:t xml:space="preserve">Involving local hospitals and government bodies from the inception of a study can prevent delays and ensure relevance to local health needs.</w:t>
      </w:r>
    </w:p>
    <w:p>
      <w:r>
        <w:pict>
          <v:rect style="width:0;height:1.5pt" o:hralign="center" o:hrstd="t" o:hr="t"/>
        </w:pict>
      </w:r>
    </w:p>
    <w:p>
      <w:pPr>
        <w:pStyle w:val="FirstParagraph"/>
      </w:pPr>
      <w:r>
        <w:rPr>
          <w:iCs/>
          <w:i/>
        </w:rPr>
        <w:t xml:space="preserve">This document is intended for informational purposes regarding the operational dynamics of Medical Research in China Guangzhou. It reflects current best practices as of the date of publication.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Role of the Medical Researcher in China Guangzhou</dc:title>
  <dc:creator/>
  <dc:language>en</dc:language>
  <cp:keywords/>
  <dcterms:created xsi:type="dcterms:W3CDTF">2026-07-29T12:07:08Z</dcterms:created>
  <dcterms:modified xsi:type="dcterms:W3CDTF">2026-07-29T12:07:08Z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