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30" w:name="Xf3f360ef7b5dc3e1cbe62f938a30cc98737f506"/>
    <w:p>
      <w:pPr>
        <w:pStyle w:val="Heading1"/>
      </w:pPr>
      <w:r>
        <w:t xml:space="preserve">Innovative Frontiers in Tropical Medicine: A Case Study of a Medical Researcher in Colombia Medellín</w:t>
      </w:r>
    </w:p>
    <w:bookmarkStart w:id="20" w:name="i.-introduction-and-contextual-framework"/>
    <w:p>
      <w:pPr>
        <w:pStyle w:val="Heading2"/>
      </w:pPr>
      <w:r>
        <w:t xml:space="preserve">I. Introduction and Contextual Framework</w:t>
      </w:r>
    </w:p>
    <w:p>
      <w:pPr>
        <w:pStyle w:val="FirstParagraph"/>
      </w:pPr>
      <w:r>
        <w:t xml:space="preserve">This document presents an extensive case study examining the role, challenges, and contributions of a</w:t>
      </w:r>
      <w:r>
        <w:t xml:space="preserve"> </w:t>
      </w:r>
      <w:r>
        <w:rPr>
          <w:bCs/>
          <w:b/>
        </w:rPr>
        <w:t xml:space="preserve">Medical Researcher</w:t>
      </w:r>
      <w:r>
        <w:t xml:space="preserve"> </w:t>
      </w:r>
      <w:r>
        <w:t xml:space="preserve">operating within the complex healthcare ecosystem of</w:t>
      </w:r>
      <w:r>
        <w:t xml:space="preserve"> </w:t>
      </w:r>
      <w:r>
        <w:rPr>
          <w:bCs/>
          <w:b/>
        </w:rPr>
        <w:t xml:space="preserve">Colombia Medellín</w:t>
      </w:r>
      <w:r>
        <w:t xml:space="preserve">. As global health priorities shift toward infectious diseases with tropical prevalence, South America has emerged as a critical zone for biomedical innovation. Specifically, the city of Medellín in Antioquia department serves not only as an economic hub but also as a burgeoning center for scientific inquiry in epidemiology and public health.</w:t>
      </w:r>
    </w:p>
    <w:p>
      <w:pPr>
        <w:pStyle w:val="BodyText"/>
      </w:pPr>
      <w:r>
        <w:t xml:space="preserve">The primary objective of this case study is to analyze how localized research initiatives can bridge the gap between international medical standards and local community needs. By focusing on the specific environmental, socioeconomic, and institutional factors present in</w:t>
      </w:r>
      <w:r>
        <w:t xml:space="preserve"> </w:t>
      </w:r>
      <w:r>
        <w:rPr>
          <w:bCs/>
          <w:b/>
        </w:rPr>
        <w:t xml:space="preserve">Colombia Medellín</w:t>
      </w:r>
      <w:r>
        <w:t xml:space="preserve">, we aim to demonstrate why this region is uniquely positioned for advanced clinical trials and epidemiological surveillance.</w:t>
      </w:r>
    </w:p>
    <w:bookmarkEnd w:id="20"/>
    <w:bookmarkStart w:id="21" w:name="ii.-profile-of-the-medical-researcher"/>
    <w:p>
      <w:pPr>
        <w:pStyle w:val="Heading2"/>
      </w:pPr>
      <w:r>
        <w:t xml:space="preserve">II. Profile of the Medical Researcher</w:t>
      </w:r>
    </w:p>
    <w:p>
      <w:pPr>
        <w:pStyle w:val="FirstParagraph"/>
      </w:pPr>
      <w:r>
        <w:t xml:space="preserve">The central figure in this case study is Dr. Elena Vargas, a dedicated</w:t>
      </w:r>
      <w:r>
        <w:t xml:space="preserve"> </w:t>
      </w:r>
      <w:r>
        <w:rPr>
          <w:bCs/>
          <w:b/>
        </w:rPr>
        <w:t xml:space="preserve">Medical Researcher</w:t>
      </w:r>
      <w:r>
        <w:t xml:space="preserve"> </w:t>
      </w:r>
      <w:r>
        <w:t xml:space="preserve">specializing in vector-borne diseases and genomic epidemiology. With a dual background in clinical medicine and biological sciences, Dr. Vargas represents the modern multi-disciplinary researcher required to tackle 21st-century health crises.</w:t>
      </w:r>
    </w:p>
    <w:p>
      <w:pPr>
        <w:pStyle w:val="BodyText"/>
      </w:pPr>
      <w:r>
        <w:rPr>
          <w:bCs/>
          <w:b/>
        </w:rPr>
        <w:t xml:space="preserve">Professional Mandate:</w:t>
      </w:r>
      <w:r>
        <w:t xml:space="preserve"> </w:t>
      </w:r>
      <w:r>
        <w:t xml:space="preserve">Dr. Vargas’s work is centered on understanding the transmission dynamics of Dengue, Zika, and Chikungunya viruses in urbanizing areas. Her role extends beyond laboratory analysis; she serves as a liaison between academic institutions and local health departments in</w:t>
      </w:r>
      <w:r>
        <w:t xml:space="preserve"> </w:t>
      </w:r>
      <w:r>
        <w:rPr>
          <w:bCs/>
          <w:b/>
        </w:rPr>
        <w:t xml:space="preserve">Colombia Medellín</w:t>
      </w:r>
      <w:r>
        <w:t xml:space="preserve">, ensuring that research outcomes are actionable for public policy.</w:t>
      </w:r>
    </w:p>
    <w:bookmarkEnd w:id="21"/>
    <w:bookmarkStart w:id="24" w:name="X01641cab72db5acbf46fbc840bf2d9d62138049"/>
    <w:p>
      <w:pPr>
        <w:pStyle w:val="Heading2"/>
      </w:pPr>
      <w:r>
        <w:t xml:space="preserve">III. The Environment: Why Colombia Medellín?</w:t>
      </w:r>
    </w:p>
    <w:p>
      <w:pPr>
        <w:pStyle w:val="FirstParagraph"/>
      </w:pPr>
      <w:r>
        <w:t xml:space="preserve">The choice of location is paramount to this case study.</w:t>
      </w:r>
      <w:r>
        <w:t xml:space="preserve"> </w:t>
      </w:r>
      <w:r>
        <w:rPr>
          <w:bCs/>
          <w:b/>
        </w:rPr>
        <w:t xml:space="preserve">Colombia MedellínMedical Researcher</w:t>
      </w:r>
      <w:r>
        <w:t xml:space="preserve">.</w:t>
      </w:r>
    </w:p>
    <w:bookmarkStart w:id="22" w:name="a.-climate-and-ecology"/>
    <w:p>
      <w:pPr>
        <w:pStyle w:val="Heading3"/>
      </w:pPr>
      <w:r>
        <w:t xml:space="preserve">A. Climate and Ecology</w:t>
      </w:r>
    </w:p>
    <w:p>
      <w:pPr>
        <w:pStyle w:val="FirstParagraph"/>
      </w:pPr>
      <w:r>
        <w:t xml:space="preserve">The subtropical climate of the Aburrá Valley provides ideal conditions for vector populations, making it a natural laboratory for studying mosquito-borne pathogens. Unlike temperate regions where seasons disrupt transmission cycles,</w:t>
      </w:r>
      <w:r>
        <w:t xml:space="preserve"> </w:t>
      </w:r>
      <w:r>
        <w:rPr>
          <w:bCs/>
          <w:b/>
        </w:rPr>
        <w:t xml:space="preserve">Colombia Medellín</w:t>
      </w:r>
    </w:p>
    <w:bookmarkEnd w:id="22"/>
    <w:bookmarkStart w:id="23" w:name="b.-urbanization-and-demographics"/>
    <w:p>
      <w:pPr>
        <w:pStyle w:val="Heading3"/>
      </w:pPr>
      <w:r>
        <w:t xml:space="preserve">B. Urbanization and Demographics</w:t>
      </w:r>
    </w:p>
    <w:p>
      <w:pPr>
        <w:pStyle w:val="FirstParagraph"/>
      </w:pPr>
      <w:r>
        <w:rPr>
          <w:bCs/>
          <w:b/>
        </w:rPr>
        <w:t xml:space="preserve">MedellínMedical Researcher</w:t>
      </w:r>
      <w:r>
        <w:t xml:space="preserve">, this diversity is invaluable for studying how socioeconomic status affects disease susceptibility and healthcare access.</w:t>
      </w:r>
    </w:p>
    <w:bookmarkEnd w:id="23"/>
    <w:bookmarkEnd w:id="24"/>
    <w:bookmarkStart w:id="28" w:name="Xfe6f9490f96ef7627ac8e5dab311ecfa3cb301c"/>
    <w:p>
      <w:pPr>
        <w:pStyle w:val="Heading2"/>
      </w:pPr>
      <w:r>
        <w:t xml:space="preserve">IV. Methodology and Operational Challenges</w:t>
      </w:r>
    </w:p>
    <w:p>
      <w:pPr>
        <w:pStyle w:val="FirstParagraph"/>
      </w:pPr>
      <w:r>
        <w:t xml:space="preserve">The operational framework for the</w:t>
      </w:r>
      <w:r>
        <w:t xml:space="preserve"> </w:t>
      </w:r>
      <w:r>
        <w:rPr>
          <w:bCs/>
          <w:b/>
        </w:rPr>
        <w:t xml:space="preserve">Medical ResearcherColombia Medellín</w:t>
      </w:r>
      <w:r>
        <w:t xml:space="preserve">.</w:t>
      </w:r>
    </w:p>
    <w:bookmarkStart w:id="25" w:name="Xcd33cbe4a79d9c2fa0644974781bc0af21b324f"/>
    <w:p>
      <w:pPr>
        <w:pStyle w:val="Heading3"/>
      </w:pPr>
      <w:r>
        <w:t xml:space="preserve">A. Community Trust and Ethical Engagement</w:t>
      </w:r>
    </w:p>
    <w:p>
      <w:pPr>
        <w:pStyle w:val="FirstParagraph"/>
      </w:pPr>
      <w:r>
        <w:t xml:space="preserve">In many parts of Latin America, historical mistrust of institutional research can hinder participation. Dr. Vargas’s strategy involved deep community integration. In</w:t>
      </w:r>
      <w:r>
        <w:t xml:space="preserve"> </w:t>
      </w:r>
      <w:r>
        <w:rPr>
          <w:bCs/>
          <w:b/>
        </w:rPr>
        <w:t xml:space="preserve">Colombia Medellín</w:t>
      </w:r>
    </w:p>
    <w:p>
      <w:pPr>
        <w:pStyle w:val="BodyText"/>
      </w:pPr>
      <w:r>
        <w:t xml:space="preserve">The</w:t>
      </w:r>
      <w:r>
        <w:t xml:space="preserve"> </w:t>
      </w:r>
      <w:r>
        <w:rPr>
          <w:bCs/>
          <w:b/>
        </w:rPr>
        <w:t xml:space="preserve">Medical Researcher</w:t>
      </w:r>
    </w:p>
    <w:bookmarkEnd w:id="25"/>
    <w:bookmarkStart w:id="26" w:name="b.-infrastructure-and-logistics"/>
    <w:p>
      <w:pPr>
        <w:pStyle w:val="Heading3"/>
      </w:pPr>
      <w:r>
        <w:t xml:space="preserve">B. Infrastructure and Logistics</w:t>
      </w:r>
    </w:p>
    <w:p>
      <w:pPr>
        <w:pStyle w:val="FirstParagraph"/>
      </w:pPr>
      <w:r>
        <w:t xml:space="preserve">While</w:t>
      </w:r>
      <w:r>
        <w:t xml:space="preserve"> </w:t>
      </w:r>
      <w:r>
        <w:rPr>
          <w:bCs/>
          <w:b/>
        </w:rPr>
        <w:t xml:space="preserve">Colombia MedellínMedical Researcher</w:t>
      </w:r>
    </w:p>
    <w:p>
      <w:pPr>
        <w:pStyle w:val="BodyText"/>
      </w:pPr>
      <w:r>
        <w:t xml:space="preserve">To mitigate this, mobile phlebotomy units were introduced. This innovation allowed for real-time sample preservation, ensuring data integrity despite the geographical complexities of</w:t>
      </w:r>
      <w:r>
        <w:t xml:space="preserve"> </w:t>
      </w:r>
      <w:r>
        <w:rPr>
          <w:bCs/>
          <w:b/>
        </w:rPr>
        <w:t xml:space="preserve">Colombia Medellín</w:t>
      </w:r>
      <w:r>
        <w:t xml:space="preserve">.</w:t>
      </w:r>
    </w:p>
    <w:bookmarkEnd w:id="26"/>
    <w:bookmarkStart w:id="27" w:name="c.-regulatory-compliance"/>
    <w:p>
      <w:pPr>
        <w:pStyle w:val="Heading3"/>
      </w:pPr>
      <w:r>
        <w:t xml:space="preserve">C. Regulatory Compliance</w:t>
      </w:r>
    </w:p>
    <w:p>
      <w:pPr>
        <w:pStyle w:val="FirstParagraph"/>
      </w:pPr>
      <w:r>
        <w:t xml:space="preserve">Navigating the regulatory landscape in Colombia requires strict adherence to guidelines set by INVIMA (Instituto Nacional de Vigilancia de Medicamentos y Alimentos). For a</w:t>
      </w:r>
      <w:r>
        <w:t xml:space="preserve"> </w:t>
      </w:r>
      <w:r>
        <w:rPr>
          <w:bCs/>
          <w:b/>
        </w:rPr>
        <w:t xml:space="preserve">Medical Researcher</w:t>
      </w:r>
    </w:p>
    <w:bookmarkEnd w:id="27"/>
    <w:bookmarkEnd w:id="28"/>
    <w:bookmarkStart w:id="29" w:name="v.-key-findings-and-impact"/>
    <w:p>
      <w:pPr>
        <w:pStyle w:val="Heading2"/>
      </w:pPr>
      <w:r>
        <w:t xml:space="preserve">V. Key Findings and Impact</w:t>
      </w:r>
    </w:p>
    <w:p>
      <w:pPr>
        <w:pStyle w:val="FirstParagraph"/>
      </w:pPr>
      <w:r>
        <w:t xml:space="preserve">The work conducted by this</w:t>
      </w:r>
      <w:r>
        <w:t xml:space="preserve"> </w:t>
      </w:r>
      <w:r>
        <w:rPr>
          <w:bCs/>
          <w:b/>
        </w:rPr>
        <w:t xml:space="preserve">Medical ResearcherColombia Medellín</w:t>
      </w:r>
    </w:p>
    <w:p>
      <w:pPr>
        <w:numPr>
          <w:ilvl w:val="0"/>
          <w:numId w:val="1001"/>
        </w:numPr>
        <w:pStyle w:val="Compact"/>
      </w:pPr>
      <w:r>
        <w:t xml:space="preserve">Epidemiological Mapping:</w:t>
      </w:r>
    </w:p>
    <w:p>
      <w:pPr>
        <w:numPr>
          <w:ilvl w:val="0"/>
          <w:numId w:val="1001"/>
        </w:numPr>
        <w:pStyle w:val="Compact"/>
      </w:pPr>
      <w:r>
        <w:t xml:space="preserve">Socioeconomic Correlations:The study revealed a strong correlation between housing density and viral transmission rates, independent of income levels. This finding challenges existing public health models that focus solely on poverty as the primary driver of vector-borne diseases.</w:t>
      </w:r>
    </w:p>
    <w:p>
      <w:pPr>
        <w:numPr>
          <w:ilvl w:val="0"/>
          <w:numId w:val="1001"/>
        </w:numPr>
        <w:pStyle w:val="Compact"/>
      </w:pPr>
      <w:r>
        <w:t xml:space="preserve">Community Empowerment:The involvement of local residents in data collection led to a 40% increase in community-led sanitation efforts, demonstrating the multiplier effect of engaging with a</w:t>
      </w:r>
      <w:r>
        <w:t xml:space="preserve"> </w:t>
      </w:r>
      <w:r>
        <w:rPr>
          <w:bCs/>
          <w:b/>
        </w:rPr>
        <w:t xml:space="preserve">Medical Researcher</w:t>
      </w:r>
      <w:r>
        <w:t xml:space="preserve">'s findings.</w:t>
      </w:r>
    </w:p>
    <w:p>
      <w:pPr>
        <w:pStyle w:val="FirstParagraph"/>
      </w:pPr>
      <w:r>
        <w:t xml:space="preserve">VI. Conclusion and Future Directions</w:t>
      </w:r>
    </w:p>
    <w:p>
      <w:pPr>
        <w:pStyle w:val="BodyText"/>
      </w:pPr>
      <w:r>
        <w:t xml:space="preserve">This case study underscores the vital role of specialized medical expertise in developing regions. The</w:t>
      </w:r>
      <w:r>
        <w:t xml:space="preserve"> </w:t>
      </w:r>
      <w:r>
        <w:rPr>
          <w:bCs/>
          <w:b/>
        </w:rPr>
        <w:t xml:space="preserve">Medical ResearcherColombia Medellín</w:t>
      </w:r>
    </w:p>
    <w:p>
      <w:pPr>
        <w:pStyle w:val="BodyText"/>
      </w:pPr>
      <w:r>
        <w:t xml:space="preserve">The success of this initiative relies on the unique synergy between global scientific standards and local contextual knowledge. As climate change alters vector habitats, cities like</w:t>
      </w:r>
      <w:r>
        <w:t xml:space="preserve"> </w:t>
      </w:r>
      <w:r>
        <w:rPr>
          <w:bCs/>
          <w:b/>
        </w:rPr>
        <w:t xml:space="preserve">Colombia MedellínMedical Researcher</w:t>
      </w:r>
    </w:p>
    <w:p>
      <w:pPr>
        <w:pStyle w:val="BodyText"/>
      </w:pPr>
      <w:r>
        <w:t xml:space="preserve">In conclusion, investing in medical research infrastructure in</w:t>
      </w:r>
      <w:r>
        <w:t xml:space="preserve"> </w:t>
      </w:r>
      <w:r>
        <w:rPr>
          <w:bCs/>
          <w:b/>
        </w:rPr>
        <w:t xml:space="preserve">Colombia MedellínMedical Researcher</w:t>
      </w:r>
    </w:p>
    <w:p>
      <w:r>
        <w:pict>
          <v:rect style="width:0;height:1.5pt" o:hralign="center" o:hrstd="t" o:hr="t"/>
        </w:pict>
      </w:r>
    </w:p>
    <w:p>
      <w:pPr>
        <w:pStyle w:val="FirstParagraph"/>
      </w:pPr>
      <w:r>
        <w:rPr>
          <w:iCs/>
          <w:i/>
        </w:rPr>
        <w:t xml:space="preserve">Note: This document is formatted as a formal case study. All references to 'Colombia Medellín' and 'Medical Researcher' are central to the analytical framework presented.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Colombia Medellín</dc:title>
  <dc:creator/>
  <dc:language>en</dc:language>
  <cp:keywords/>
  <dcterms:created xsi:type="dcterms:W3CDTF">2026-07-29T15:16:07Z</dcterms:created>
  <dcterms:modified xsi:type="dcterms:W3CDTF">2026-07-29T15:16:07Z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