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case-study-profile"/>
    <w:p>
      <w:pPr>
        <w:pStyle w:val="Heading1"/>
      </w:pPr>
      <w:r>
        <w:t xml:space="preserve">Case Study Profile</w:t>
      </w:r>
    </w:p>
    <w:p>
      <w:pPr>
        <w:pStyle w:val="FirstParagraph"/>
      </w:pPr>
      <w:r>
        <w:rPr>
          <w:bCs/>
          <w:b/>
        </w:rPr>
        <w:t xml:space="preserve">Role:</w:t>
      </w:r>
      <w:r>
        <w:t xml:space="preserve"> </w:t>
      </w:r>
      <w:r>
        <w:t xml:space="preserve">Medical Researcher</w:t>
      </w:r>
      <w:r>
        <w:br/>
      </w:r>
      <w:r>
        <w:rPr>
          <w:bCs/>
          <w:b/>
        </w:rPr>
        <w:t xml:space="preserve">Affiliation:</w:t>
      </w:r>
      <w:r>
        <w:t xml:space="preserve">Institute for Advanced Clinical Sciences, France Paris</w:t>
      </w:r>
      <w:r>
        <w:br/>
      </w:r>
      <w:r>
        <w:rPr>
          <w:bCs/>
          <w:b/>
        </w:rPr>
        <w:t xml:space="preserve">Date of Assessment:</w:t>
      </w:r>
      <w:r>
        <w:t xml:space="preserve"> </w:t>
      </w:r>
      <w:r>
        <w:t xml:space="preserve">October 2023</w:t>
      </w:r>
      <w:r>
        <w:br/>
      </w:r>
      <w:r>
        <w:br/>
      </w:r>
      <w:r>
        <w:t xml:space="preserve">This document outlines the professional profile, operational challenges, technological requirements, and strategic objectives of a senior Medical Researcher based in France Paris. The analysis focuses on integrating cutting-edge biomedical innovation within the rigorous regulatory framework characteristic of this region.</w:t>
      </w:r>
    </w:p>
    <w:bookmarkEnd w:id="20"/>
    <w:bookmarkStart w:id="21" w:name="executive-summary"/>
    <w:p>
      <w:pPr>
        <w:pStyle w:val="Heading2"/>
      </w:pPr>
      <w:r>
        <w:t xml:space="preserve">1. Executive Summary</w:t>
      </w:r>
    </w:p>
    <w:p>
      <w:pPr>
        <w:pStyle w:val="FirstParagraph"/>
      </w:pPr>
      <w:r>
        <w:t xml:space="preserve">The landscape of modern medicine is undergoing a paradigm shift, driven by data science, genomics, and artificial intelligence. In the heart of Europe,</w:t>
      </w:r>
      <w:r>
        <w:t xml:space="preserve"> </w:t>
      </w:r>
      <w:r>
        <w:rPr>
          <w:bCs/>
          <w:b/>
        </w:rPr>
        <w:t xml:space="preserve">France Paris</w:t>
      </w:r>
      <w:r>
        <w:t xml:space="preserve">, stands as a critical hub for this transformation. This case study examines the role of the Medical Researcher operating within this unique ecosystem. The primary objective is to understand how high-level scientific inquiry intersects with administrative efficiency and ethical compliance in one of the world’s most historically significant medical hubs.</w:t>
      </w:r>
    </w:p>
    <w:p>
      <w:pPr>
        <w:pStyle w:val="BodyText"/>
      </w:pPr>
      <w:r>
        <w:t xml:space="preserve">The Medical Researcher in question is tasked with leading multi-disciplinary teams to develop novel therapeutic interventions. However, the context of working in</w:t>
      </w:r>
      <w:r>
        <w:t xml:space="preserve"> </w:t>
      </w:r>
      <w:r>
        <w:rPr>
          <w:bCs/>
          <w:b/>
        </w:rPr>
        <w:t xml:space="preserve">France Paris</w:t>
      </w:r>
      <w:r>
        <w:t xml:space="preserve"> </w:t>
      </w:r>
      <w:r>
        <w:t xml:space="preserve">imposes specific constraints and opportunities. These include strict adherence to European Union (EU) General Data Protection Regulation (GDPR), collaboration with prestigious institutions such as the Pasteur Institute or Sorbonne University, and navigating the complex funding structures provided by Inserm (Institut national de la santé et de la recherche médicale).</w:t>
      </w:r>
    </w:p>
    <w:bookmarkEnd w:id="21"/>
    <w:bookmarkStart w:id="24" w:name="professional-context-in-france-paris"/>
    <w:p>
      <w:pPr>
        <w:pStyle w:val="Heading2"/>
      </w:pPr>
      <w:r>
        <w:t xml:space="preserve">2. Professional Context in France Paris</w:t>
      </w:r>
    </w:p>
    <w:p>
      <w:pPr>
        <w:pStyle w:val="FirstParagraph"/>
      </w:pPr>
      <w:r>
        <w:t xml:space="preserve">The location of this study is pivotal.</w:t>
      </w:r>
      <w:r>
        <w:t xml:space="preserve"> </w:t>
      </w:r>
      <w:r>
        <w:rPr>
          <w:bCs/>
          <w:b/>
        </w:rPr>
        <w:t xml:space="preserve">France Paris</w:t>
      </w:r>
      <w:r>
        <w:t xml:space="preserve"> </w:t>
      </w:r>
      <w:r>
        <w:t xml:space="preserve">is not merely a geographical coordinate but a symbol of medical excellence and historical continuity. For the Medical Researcher, being situated in this capital city provides access to a dense network of hospitals, universities, and biotechnology startups.</w:t>
      </w:r>
    </w:p>
    <w:bookmarkStart w:id="22" w:name="regulatory-environment"/>
    <w:p>
      <w:pPr>
        <w:pStyle w:val="Heading3"/>
      </w:pPr>
      <w:r>
        <w:t xml:space="preserve">2.1 Regulatory Environment</w:t>
      </w:r>
    </w:p>
    <w:p>
      <w:pPr>
        <w:pStyle w:val="FirstParagraph"/>
      </w:pPr>
      <w:r>
        <w:t xml:space="preserve">The regulatory framework in France is notoriously rigorous. The Medical Researcher must navigate the Committee for the Protection of Persons (CPP) and the Agence Nationale de Sécurité du Médicament et des Produits de Santé (ANSM). This requires a high level of administrative diligence, ensuring that every phase of research, from pre-clinical trials to human subject involvement, meets strict ethical standards. The documentation required is extensive, often delaying publication timelines but ensuring unparalleled safety and integrity.</w:t>
      </w:r>
    </w:p>
    <w:bookmarkEnd w:id="22"/>
    <w:bookmarkStart w:id="23" w:name="collaborative-ecosystem"/>
    <w:p>
      <w:pPr>
        <w:pStyle w:val="Heading3"/>
      </w:pPr>
      <w:r>
        <w:t xml:space="preserve">2.2 Collaborative Ecosystem</w:t>
      </w:r>
    </w:p>
    <w:p>
      <w:pPr>
        <w:pStyle w:val="FirstParagraph"/>
      </w:pPr>
      <w:r>
        <w:t xml:space="preserve">In</w:t>
      </w:r>
      <w:r>
        <w:t xml:space="preserve"> </w:t>
      </w:r>
      <w:r>
        <w:rPr>
          <w:bCs/>
          <w:b/>
        </w:rPr>
        <w:t xml:space="preserve">France Paris</w:t>
      </w:r>
      <w:r>
        <w:t xml:space="preserve">, silos are breaking down. The Medical Researcher frequently collaborates with data scientists from engineering schools like École Polytechnique and clinicians from major hospital centers (AP-HP). This interdisciplinary approach is essential for translating bench-side discoveries to clinical applications. The proximity to other leading minds fosters a competitive yet cooperative atmosphere, accelerating the pace of discovery.</w:t>
      </w:r>
    </w:p>
    <w:bookmarkEnd w:id="23"/>
    <w:bookmarkEnd w:id="24"/>
    <w:bookmarkStart w:id="25" w:name="X1d6400880bcdc642fd296863fdbba3b26d0a2f9"/>
    <w:p>
      <w:pPr>
        <w:pStyle w:val="Heading2"/>
      </w:pPr>
      <w:r>
        <w:t xml:space="preserve">3. Key Challenges Faced by the Medical Researcher</w:t>
      </w:r>
    </w:p>
    <w:p>
      <w:pPr>
        <w:pStyle w:val="FirstParagraph"/>
      </w:pPr>
      <w:r>
        <w:rPr>
          <w:bCs/>
          <w:b/>
        </w:rPr>
        <w:t xml:space="preserve">a) Data Privacy and Security:</w:t>
      </w:r>
      <w:r>
        <w:br/>
      </w:r>
      <w:r>
        <w:t xml:space="preserve">Handling sensitive patient data in compliance with GDPR is a constant challenge. The Medical Researcher must implement robust cybersecurity measures to protect genomic data and patient records. In</w:t>
      </w:r>
      <w:r>
        <w:t xml:space="preserve"> </w:t>
      </w:r>
      <w:r>
        <w:rPr>
          <w:bCs/>
          <w:b/>
        </w:rPr>
        <w:t xml:space="preserve">France Paris</w:t>
      </w:r>
      <w:r>
        <w:t xml:space="preserve">, where digital health initiatives are rapidly expanding, the risk of cyber-attacks on medical databases is significant.</w:t>
      </w:r>
    </w:p>
    <w:p>
      <w:pPr>
        <w:pStyle w:val="BodyText"/>
      </w:pPr>
      <w:r>
        <w:rPr>
          <w:bCs/>
          <w:b/>
        </w:rPr>
        <w:t xml:space="preserve">b) Funding Competition:</w:t>
      </w:r>
      <w:r>
        <w:br/>
      </w:r>
      <w:r>
        <w:t xml:space="preserve">While France offers substantial public funding, it is highly competitive. The Medical Researcher spends a considerable amount of time writing grant proposals to agencies such as the Agence Nationale de la Recherche (ANR). Securing these funds is crucial for maintaining laboratory operations and employing research staff.</w:t>
      </w:r>
    </w:p>
    <w:p>
      <w:pPr>
        <w:pStyle w:val="BodyText"/>
      </w:pPr>
      <w:r>
        <w:rPr>
          <w:bCs/>
          <w:b/>
        </w:rPr>
        <w:t xml:space="preserve">c) Translational Gap:</w:t>
      </w:r>
      <w:r>
        <w:br/>
      </w:r>
      <w:r>
        <w:t xml:space="preserve">A common issue in academic medicine is the "valley of death" between basic science and commercial application. The Medical Researcher must bridge this gap, often requiring engagement with venture capitalists and industry partners based in the Parisian biotech cluster.</w:t>
      </w:r>
    </w:p>
    <w:bookmarkEnd w:id="25"/>
    <w:bookmarkStart w:id="26" w:name="X7765cecff3de4a795870336213e6213cf399798"/>
    <w:p>
      <w:pPr>
        <w:pStyle w:val="Heading2"/>
      </w:pPr>
      <w:r>
        <w:t xml:space="preserve">4. Technological Infrastructure Requirements</w:t>
      </w:r>
    </w:p>
    <w:p>
      <w:pPr>
        <w:pStyle w:val="FirstParagraph"/>
      </w:pPr>
      <w:r>
        <w:t xml:space="preserve">To succeed in this role, the Medical Researcher relies on a sophisticated technological stack:</w:t>
      </w:r>
    </w:p>
    <w:p>
      <w:pPr>
        <w:numPr>
          <w:ilvl w:val="0"/>
          <w:numId w:val="1001"/>
        </w:numPr>
        <w:pStyle w:val="Compact"/>
      </w:pPr>
      <w:r>
        <w:rPr>
          <w:bCs/>
          <w:b/>
        </w:rPr>
        <w:t xml:space="preserve">HPC (High-Performance Computing) Clusters:</w:t>
      </w:r>
      <w:r>
        <w:t xml:space="preserve"> </w:t>
      </w:r>
      <w:r>
        <w:t xml:space="preserve">Essential for processing large datasets related to genomics and proteomics. Access to local computing resources in</w:t>
      </w:r>
      <w:r>
        <w:t xml:space="preserve"> </w:t>
      </w:r>
      <w:r>
        <w:rPr>
          <w:bCs/>
          <w:b/>
        </w:rPr>
        <w:t xml:space="preserve">France Paris</w:t>
      </w:r>
      <w:r>
        <w:t xml:space="preserve">, such as those provided by TGCC, is vital.</w:t>
      </w:r>
    </w:p>
    <w:p>
      <w:pPr>
        <w:numPr>
          <w:ilvl w:val="0"/>
          <w:numId w:val="1001"/>
        </w:numPr>
        <w:pStyle w:val="Compact"/>
      </w:pPr>
      <w:r>
        <w:rPr>
          <w:bCs/>
          <w:b/>
        </w:rPr>
        <w:t xml:space="preserve">LIMS (Laboratory Information Management Systems):</w:t>
      </w:r>
      <w:r>
        <w:t xml:space="preserve"> </w:t>
      </w:r>
      <w:r>
        <w:t xml:space="preserve">Digital systems that streamline sample tracking and experiment documentation, ensuring compliance with Good Laboratory Practice (GLP).</w:t>
      </w:r>
    </w:p>
    <w:p>
      <w:pPr>
        <w:numPr>
          <w:ilvl w:val="0"/>
          <w:numId w:val="1001"/>
        </w:numPr>
        <w:pStyle w:val="Compact"/>
      </w:pPr>
      <w:r>
        <w:rPr>
          <w:bCs/>
          <w:b/>
        </w:rPr>
        <w:t xml:space="preserve">EHR Integration Tools:</w:t>
      </w:r>
      <w:r>
        <w:t xml:space="preserve"> </w:t>
      </w:r>
      <w:r>
        <w:t xml:space="preserve">Secure interfaces to extract de-identified data from Electronic Health Records in Parisian hospitals for retrospective studies.</w:t>
      </w:r>
    </w:p>
    <w:p>
      <w:pPr>
        <w:numPr>
          <w:ilvl w:val="0"/>
          <w:numId w:val="1001"/>
        </w:numPr>
        <w:pStyle w:val="Compact"/>
      </w:pPr>
      <w:r>
        <w:rPr>
          <w:bCs/>
          <w:b/>
        </w:rPr>
        <w:t xml:space="preserve">Cybersecurity Solutions:</w:t>
      </w:r>
      <w:r>
        <w:t xml:space="preserve"> </w:t>
      </w:r>
      <w:r>
        <w:t xml:space="preserve">End-to-end encryption and multi-factor authentication protocols to safeguard intellectual property and patient privacy.</w:t>
      </w:r>
    </w:p>
    <w:bookmarkEnd w:id="26"/>
    <w:bookmarkStart w:id="27" w:name="Xc01afd3fa7641b944a34f89d8f91b3eb6782516"/>
    <w:p>
      <w:pPr>
        <w:pStyle w:val="Heading2"/>
      </w:pPr>
      <w:r>
        <w:t xml:space="preserve">5. Strategic Objectives for the Medical Researcher</w:t>
      </w:r>
    </w:p>
    <w:p>
      <w:pPr>
        <w:pStyle w:val="FirstParagraph"/>
      </w:pPr>
      <w:r>
        <w:rPr>
          <w:bCs/>
          <w:b/>
        </w:rPr>
        <w:t xml:space="preserve">Promoting Open Science:</w:t>
      </w:r>
      <w:r>
        <w:br/>
      </w:r>
      <w:r>
        <w:t xml:space="preserve">In line with EU directives, the Medical Researcher aims to publish findings in open-access journals and share datasets where legally permissible. This enhances reproducibility and accelerates global scientific progress.</w:t>
      </w:r>
    </w:p>
    <w:p>
      <w:pPr>
        <w:pStyle w:val="BodyText"/>
      </w:pPr>
      <w:r>
        <w:rPr>
          <w:bCs/>
          <w:b/>
        </w:rPr>
        <w:t xml:space="preserve">International Collaboration:</w:t>
      </w:r>
      <w:r>
        <w:br/>
      </w:r>
      <w:r>
        <w:t xml:space="preserve">Despite being based in</w:t>
      </w:r>
      <w:r>
        <w:t xml:space="preserve"> </w:t>
      </w:r>
      <w:r>
        <w:rPr>
          <w:bCs/>
          <w:b/>
        </w:rPr>
        <w:t xml:space="preserve">France Paris</w:t>
      </w:r>
      <w:r>
        <w:t xml:space="preserve">, the scope of research is global. The Medical Researcher seeks partnerships with institutions in North America and Asia to conduct multi-center clinical trials, increasing the statistical power and generalizability of results.</w:t>
      </w:r>
    </w:p>
    <w:p>
      <w:pPr>
        <w:pStyle w:val="BodyText"/>
      </w:pPr>
      <w:r>
        <w:rPr>
          <w:bCs/>
          <w:b/>
        </w:rPr>
        <w:t xml:space="preserve">Ethical Leadership:</w:t>
      </w:r>
      <w:r>
        <w:br/>
      </w:r>
      <w:r>
        <w:t xml:space="preserve">A core objective is to maintain public trust. By adhering to the highest ethical standards, the Medical Researcher ensures that advancements in medicine do not come at the cost of patient rights or societal values.</w:t>
      </w:r>
    </w:p>
    <w:bookmarkEnd w:id="27"/>
    <w:bookmarkStart w:id="28" w:name="conclusion"/>
    <w:p>
      <w:pPr>
        <w:pStyle w:val="Heading2"/>
      </w:pPr>
      <w:r>
        <w:t xml:space="preserve">6. Conclusion</w:t>
      </w:r>
    </w:p>
    <w:p>
      <w:pPr>
        <w:pStyle w:val="FirstParagraph"/>
      </w:pPr>
      <w:r>
        <w:t xml:space="preserve">The role of the Medical Researcher in</w:t>
      </w:r>
      <w:r>
        <w:t xml:space="preserve"> </w:t>
      </w:r>
      <w:r>
        <w:rPr>
          <w:bCs/>
          <w:b/>
        </w:rPr>
        <w:t xml:space="preserve">France Paris</w:t>
      </w:r>
      <w:r>
        <w:t xml:space="preserve"> </w:t>
      </w:r>
      <w:r>
        <w:t xml:space="preserve">is one of immense responsibility and opportunity. It requires a delicate balance between scientific ambition and regulatory compliance. The unique position of this professional within the French healthcare system allows for significant contributions to global medical knowledge, provided they can navigate the complexities of funding, data security, and interdisciplinary collaboration.</w:t>
      </w:r>
    </w:p>
    <w:p>
      <w:pPr>
        <w:pStyle w:val="BodyText"/>
      </w:pPr>
      <w:r>
        <w:t xml:space="preserve">This case study highlights that success in this field is not solely determined by intellectual prowess but also by strategic adaptability. The Medical Researcher must be as adept at managing administrative protocols in Paris as they are at interpreting complex biological data. By leveraging the rich resources and historical prestige of</w:t>
      </w:r>
      <w:r>
        <w:t xml:space="preserve"> </w:t>
      </w:r>
      <w:r>
        <w:rPr>
          <w:bCs/>
          <w:b/>
        </w:rPr>
        <w:t xml:space="preserve">France Paris</w:t>
      </w:r>
      <w:r>
        <w:t xml:space="preserve">, the Medical Researcher can drive innovations that improve patient outcomes worldwide.</w:t>
      </w:r>
    </w:p>
    <w:bookmarkEnd w:id="28"/>
    <w:bookmarkStart w:id="29" w:name="recommendations-for-stakeholders"/>
    <w:p>
      <w:pPr>
        <w:pStyle w:val="Heading2"/>
      </w:pPr>
      <w:r>
        <w:t xml:space="preserve">7. Recommendations for Stakeholders</w:t>
      </w:r>
    </w:p>
    <w:p>
      <w:pPr>
        <w:numPr>
          <w:ilvl w:val="0"/>
          <w:numId w:val="1002"/>
        </w:numPr>
        <w:pStyle w:val="Compact"/>
      </w:pPr>
      <w:r>
        <w:rPr>
          <w:bCs/>
          <w:b/>
        </w:rPr>
        <w:t xml:space="preserve">Audit Cybersecurity Protocols:</w:t>
      </w:r>
      <w:r>
        <w:t xml:space="preserve"> </w:t>
      </w:r>
      <w:r>
        <w:t xml:space="preserve">Regularly review data protection measures to ensure alignment with evolving GDPR interpretations.</w:t>
      </w:r>
    </w:p>
    <w:p>
      <w:pPr>
        <w:numPr>
          <w:ilvl w:val="0"/>
          <w:numId w:val="1002"/>
        </w:numPr>
        <w:pStyle w:val="Compact"/>
      </w:pPr>
      <w:r>
        <w:rPr>
          <w:bCs/>
          <w:b/>
        </w:rPr>
        <w:t xml:space="preserve">Foster Interdisciplinary Hubs:</w:t>
      </w:r>
    </w:p>
    <w:p>
      <w:pPr>
        <w:numPr>
          <w:ilvl w:val="0"/>
          <w:numId w:val="1002"/>
        </w:numPr>
        <w:pStyle w:val="Compact"/>
      </w:pPr>
      <w:r>
        <w:rPr>
          <w:bCs/>
          <w:b/>
        </w:rPr>
        <w:t xml:space="preserve">Simplify Grant Processes:</w:t>
      </w:r>
      <w:r>
        <w:t xml:space="preserve"> </w:t>
      </w:r>
      <w:r>
        <w:t xml:space="preserve">Streamline the application process for public funding to allow researchers to spend more time on discovery rather than administration.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2026-07-29T21:05:41Z</dcterms:created>
  <dcterms:modified xsi:type="dcterms:W3CDTF">2026-07-29T21:05:41Z</dcterms:modified>
</cp:coreProperties>
</file>

<file path=docProps/custom.xml><?xml version="1.0" encoding="utf-8"?>
<Properties xmlns="http://schemas.openxmlformats.org/officeDocument/2006/custom-properties" xmlns:vt="http://schemas.openxmlformats.org/officeDocument/2006/docPropsVTypes"/>
</file>