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Iran,</w:t>
      </w:r>
      <w:r>
        <w:t xml:space="preserve"> </w:t>
      </w:r>
      <w:r>
        <w:t xml:space="preserve">Tehran</w:t>
      </w:r>
    </w:p>
    <w:bookmarkStart w:id="32" w:name="X4a7d692b922fe2ab827df2d9219c1ad18fffe31"/>
    <w:p>
      <w:pPr>
        <w:pStyle w:val="Heading1"/>
      </w:pPr>
      <w:r>
        <w:t xml:space="preserve">The Role and Impact of Medical Researchers in Iran, Tehran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Islamic Republic of Iran, Capital Region (Tehran)</w:t>
      </w:r>
    </w:p>
    <w:bookmarkStart w:id="20" w:name="executive-summary"/>
    <w:p>
      <w:pPr>
        <w:pStyle w:val="Heading2"/>
      </w:pPr>
      <w:r>
        <w:t xml:space="preserve">1. Executive Summary</w:t>
      </w:r>
    </w:p>
    <w:p>
      <w:pPr>
        <w:pStyle w:val="FirstParagraph"/>
      </w:pPr>
      <w:r>
        <w:t xml:space="preserve">This Case Study examines the critical position of Medical Researchers operating within the complex healthcare landscape of Tehran, Iran. As the capital and largest city in Iran, Tehran serves as a central hub for medical education, clinical practice, and biomedical innovation. This document explores how Medical Researchers in this region navigate systemic challenges such as international sanctions, resource allocation constraints while simultaneously achieving significant breakthroughs in genetics, infectious diseases like COVID-19, and regenerative medicine. The analysis highlights the unique intersection of traditional medical practices with modern scientific inquiry specific to the Tehran metropolitan area.</w:t>
      </w:r>
    </w:p>
    <w:bookmarkEnd w:id="20"/>
    <w:bookmarkStart w:id="21" w:name="background-and-context"/>
    <w:p>
      <w:pPr>
        <w:pStyle w:val="Heading2"/>
      </w:pPr>
      <w:r>
        <w:t xml:space="preserve">2. Background and Context</w:t>
      </w:r>
    </w:p>
    <w:p>
      <w:pPr>
        <w:pStyle w:val="FirstParagraph"/>
      </w:pPr>
      <w:r>
        <w:t xml:space="preserve">The healthcare system in Iran is characterized by a high literacy rate among its population and a strong emphasis on STEM (Science, Technology, Engineering, and Mathematics) education. Tehran is home to some of the country’s most prestigious universities, including Tehran University of Medical Sciences (TUMS), Shahid Beheshti University of Medical Sciences, and Iran University of Medical Sciences. These institutions act as the primary incubators for Medical Researchers who are tasked with addressing both local public health crises and contributing to global scientific knowledge.</w:t>
      </w:r>
    </w:p>
    <w:p>
      <w:pPr>
        <w:pStyle w:val="BodyText"/>
      </w:pPr>
      <w:r>
        <w:t xml:space="preserve">The demographic profile of Tehran presents a unique set of challenges for researchers. With a population exceeding nine million in the city proper, and millions more in the surrounding metropolitan area, issues related to air pollution-related respiratory diseases, lifestyle disorders such as diabetes and cardiovascular conditions, and high-volume infectious disease transmission are prevalent. Consequently, Medical Researchers in Tehran have developed specialized focus areas that address these specific local epidemiological needs.</w:t>
      </w:r>
    </w:p>
    <w:bookmarkEnd w:id="21"/>
    <w:bookmarkStart w:id="22" w:name="objectives-of-the-study"/>
    <w:p>
      <w:pPr>
        <w:pStyle w:val="Heading2"/>
      </w:pPr>
      <w:r>
        <w:t xml:space="preserve">3. Objectives of the Study</w:t>
      </w:r>
    </w:p>
    <w:p>
      <w:pPr>
        <w:numPr>
          <w:ilvl w:val="0"/>
          <w:numId w:val="1001"/>
        </w:numPr>
        <w:pStyle w:val="Compact"/>
      </w:pPr>
      <w:r>
        <w:t xml:space="preserve">To evaluate the primary responsibilities and daily operations of a Medical Researcher based in Tehran.</w:t>
      </w:r>
    </w:p>
    <w:p>
      <w:pPr>
        <w:numPr>
          <w:ilvl w:val="0"/>
          <w:numId w:val="1001"/>
        </w:numPr>
        <w:pStyle w:val="Compact"/>
      </w:pPr>
      <w:r>
        <w:t xml:space="preserve">To analyze the impact of geopolitical sanctions on research funding, equipment procurement, and international collaboration for researchers in Iran.</w:t>
      </w:r>
    </w:p>
    <w:p>
      <w:pPr>
        <w:numPr>
          <w:ilvl w:val="0"/>
          <w:numId w:val="1001"/>
        </w:numPr>
        <w:pStyle w:val="Compact"/>
      </w:pPr>
      <w:r>
        <w:t xml:space="preserve">To assess the contributions of Iranian Medical Researchers to global health initiatives, particularly during recent pandemics.</w:t>
      </w:r>
    </w:p>
    <w:bookmarkEnd w:id="22"/>
    <w:bookmarkStart w:id="23" w:name="methodology"/>
    <w:p>
      <w:pPr>
        <w:pStyle w:val="Heading2"/>
      </w:pPr>
      <w:r>
        <w:t xml:space="preserve">4. Methodology</w:t>
      </w:r>
    </w:p>
    <w:p>
      <w:pPr>
        <w:pStyle w:val="FirstParagraph"/>
      </w:pPr>
      <w:r>
        <w:t xml:space="preserve">This case study utilizes a qualitative approach, synthesizing data from academic publications originating from Tehran-based institutions, reports by the Ministry of Health and Medical Education (MOHME), and interviews with healthcare professionals operating within the capital region. The focus remains strictly on the operational environment of Medical Researchers working in university-affiliated hospitals and independent research institutes located in Tehran.</w:t>
      </w:r>
    </w:p>
    <w:bookmarkEnd w:id="23"/>
    <w:bookmarkStart w:id="28" w:name="key-findings"/>
    <w:p>
      <w:pPr>
        <w:pStyle w:val="Heading2"/>
      </w:pPr>
      <w:r>
        <w:t xml:space="preserve">5. Key Findings</w:t>
      </w:r>
    </w:p>
    <w:bookmarkStart w:id="24" w:name="X103a4b5f5aa989c73b3be8acb2d9880105a0668"/>
    <w:p>
      <w:pPr>
        <w:pStyle w:val="Heading3"/>
      </w:pPr>
      <w:r>
        <w:t xml:space="preserve">5.1 Navigating Sanctions and Resource Constraints</w:t>
      </w:r>
    </w:p>
    <w:p>
      <w:pPr>
        <w:pStyle w:val="FirstParagraph"/>
      </w:pPr>
      <w:r>
        <w:t xml:space="preserve">A defining characteristic for any Medical Researcher working in Iran, particularly in Tehran, is the necessity of operating under international sanctions. These sanctions often restrict the importation of high-tech laboratory equipment and specialized pharmaceutical reagents. Consequently, Medical Researchers have demonstrated remarkable ingenuity by:</w:t>
      </w:r>
    </w:p>
    <w:p>
      <w:pPr>
        <w:numPr>
          <w:ilvl w:val="0"/>
          <w:numId w:val="1002"/>
        </w:numPr>
        <w:pStyle w:val="Compact"/>
      </w:pPr>
      <w:r>
        <w:rPr>
          <w:bCs/>
          <w:b/>
        </w:rPr>
        <w:t xml:space="preserve">Localization:</w:t>
      </w:r>
      <w:r>
        <w:t xml:space="preserve"> </w:t>
      </w:r>
      <w:r>
        <w:t xml:space="preserve">Developing domestic alternatives for essential laboratory supplies where possible.</w:t>
      </w:r>
    </w:p>
    <w:p>
      <w:pPr>
        <w:numPr>
          <w:ilvl w:val="0"/>
          <w:numId w:val="1002"/>
        </w:numPr>
        <w:pStyle w:val="Compact"/>
      </w:pPr>
      <w:r>
        <w:rPr>
          <w:bCs/>
          <w:b/>
        </w:rPr>
        <w:t xml:space="preserve">Diplomatic Procurement Channels:</w:t>
      </w:r>
    </w:p>
    <w:p>
      <w:pPr>
        <w:numPr>
          <w:ilvl w:val="0"/>
          <w:numId w:val="1002"/>
        </w:numPr>
        <w:pStyle w:val="Compact"/>
      </w:pPr>
      <w:r>
        <w:rPr>
          <w:bCs/>
          <w:b/>
        </w:rPr>
        <w:t xml:space="preserve">Cross-Border Collaboration:</w:t>
      </w:r>
      <w:r>
        <w:t xml:space="preserve"> </w:t>
      </w:r>
      <w:r>
        <w:t xml:space="preserve">Establishing robust collaborative networks with researchers in neighboring countries, such as Turkey, Iraq, and Gulf states, as well as non-Western powers like China and Russia.</w:t>
      </w:r>
    </w:p>
    <w:bookmarkEnd w:id="24"/>
    <w:bookmarkStart w:id="25" w:name="focus-areas-genetics-and-genomics"/>
    <w:p>
      <w:pPr>
        <w:pStyle w:val="Heading3"/>
      </w:pPr>
      <w:r>
        <w:t xml:space="preserve">5.2 Focus Areas: Genetics and Genomics</w:t>
      </w:r>
    </w:p>
    <w:p>
      <w:pPr>
        <w:pStyle w:val="FirstParagraph"/>
      </w:pPr>
      <w:r>
        <w:t xml:space="preserve">Tehran-based Medical Researchers have gained international recognition for their work in genetics. Due to Iran’s diverse ethnic composition, researchers in Tehran are uniquely positioned to study genetic variations specific to the Iranian population. Significant contributions include:</w:t>
      </w:r>
    </w:p>
    <w:p>
      <w:pPr>
        <w:numPr>
          <w:ilvl w:val="0"/>
          <w:numId w:val="1003"/>
        </w:numPr>
        <w:pStyle w:val="Compact"/>
      </w:pPr>
      <w:r>
        <w:t xml:space="preserve">The mapping of rare genetic disorders prevalent in specific regions of Iran.</w:t>
      </w:r>
    </w:p>
    <w:p>
      <w:pPr>
        <w:numPr>
          <w:ilvl w:val="0"/>
          <w:numId w:val="1003"/>
        </w:numPr>
        <w:pStyle w:val="Compact"/>
      </w:pPr>
      <w:r>
        <w:t xml:space="preserve">Cancer genomics projects aimed at identifying biomarkers for early detection of breast and gastric cancers, which have high incidence rates in the region.</w:t>
      </w:r>
    </w:p>
    <w:p>
      <w:pPr>
        <w:numPr>
          <w:ilvl w:val="0"/>
          <w:numId w:val="1003"/>
        </w:numPr>
        <w:pStyle w:val="Compact"/>
      </w:pPr>
      <w:r>
        <w:t xml:space="preserve">The development of personalized medicine protocols that account for the genetic makeup of Iranian patients.</w:t>
      </w:r>
    </w:p>
    <w:bookmarkEnd w:id="25"/>
    <w:bookmarkStart w:id="26" w:name="infectious-disease-management"/>
    <w:p>
      <w:pPr>
        <w:pStyle w:val="Heading3"/>
      </w:pPr>
      <w:r>
        <w:t xml:space="preserve">5.3 Infectious Disease Management</w:t>
      </w:r>
    </w:p>
    <w:p>
      <w:pPr>
        <w:pStyle w:val="FirstParagraph"/>
      </w:pPr>
      <w:r>
        <w:t xml:space="preserve">The role of Medical Researchers in Tehran was heavily scrutinized during the global COVID-19 pandemic. Despite restrictions, researchers in Tehran managed to sequence viral strains rapidly and contributed to the development of domestic vaccines (such as the COVIran Barekat project). Their work emphasized:</w:t>
      </w:r>
    </w:p>
    <w:p>
      <w:pPr>
        <w:numPr>
          <w:ilvl w:val="0"/>
          <w:numId w:val="1004"/>
        </w:numPr>
        <w:pStyle w:val="Compact"/>
      </w:pPr>
      <w:r>
        <w:t xml:space="preserve">Epidemiological modeling specific to high-density urban environments like Tehran.</w:t>
      </w:r>
    </w:p>
    <w:p>
      <w:pPr>
        <w:numPr>
          <w:ilvl w:val="0"/>
          <w:numId w:val="1004"/>
        </w:numPr>
        <w:pStyle w:val="Compact"/>
      </w:pPr>
      <w:r>
        <w:t xml:space="preserve">The evaluation of traditional Iranian medicine adjuncts alongside conventional treatments, a unique approach stemming from local cultural practices.</w:t>
      </w:r>
    </w:p>
    <w:bookmarkEnd w:id="26"/>
    <w:bookmarkStart w:id="27" w:name="brain-mapping-and-regenerative-medicine"/>
    <w:p>
      <w:pPr>
        <w:pStyle w:val="Heading3"/>
      </w:pPr>
      <w:r>
        <w:t xml:space="preserve">5.4 Brain Mapping and Regenerative Medicine</w:t>
      </w:r>
    </w:p>
    <w:p>
      <w:pPr>
        <w:pStyle w:val="FirstParagraph"/>
      </w:pPr>
      <w:r>
        <w:t xml:space="preserve">In addition to infectious diseases, Medical Researchers in Tehran have made strides in neural mapping and stem cell therapy. The government’s support for stem cell research allows for clinical trials that are often more accessible than in heavily regulated Western markets. This has positioned Tehran as a regional leader in regenerative medicine, attracting medical tourists from neighboring countries seeking treatments for neurological injuries and organ failure.</w:t>
      </w:r>
    </w:p>
    <w:bookmarkEnd w:id="27"/>
    <w:bookmarkEnd w:id="28"/>
    <w:bookmarkStart w:id="29" w:name="challenges-faced-by-medical-researchers"/>
    <w:p>
      <w:pPr>
        <w:pStyle w:val="Heading2"/>
      </w:pPr>
      <w:r>
        <w:t xml:space="preserve">6. Challenges Faced by Medical Researchers</w:t>
      </w:r>
    </w:p>
    <w:p>
      <w:pPr>
        <w:pStyle w:val="FirstParagraph"/>
      </w:pPr>
      <w:r>
        <w:t xml:space="preserve">Despite their achievements, Medical Researchers in Tehran face substantial hurdles:</w:t>
      </w:r>
    </w:p>
    <w:p>
      <w:pPr>
        <w:numPr>
          <w:ilvl w:val="0"/>
          <w:numId w:val="1005"/>
        </w:numPr>
        <w:pStyle w:val="Compact"/>
      </w:pPr>
      <w:r>
        <w:rPr>
          <w:bCs/>
          <w:b/>
        </w:rPr>
        <w:t xml:space="preserve">Economic Instability:</w:t>
      </w:r>
      <w:r>
        <w:t xml:space="preserve"> </w:t>
      </w:r>
      <w:r>
        <w:t xml:space="preserve">Fluctuations in the local currency value can drastically increase the cost of imported research materials.</w:t>
      </w:r>
    </w:p>
    <w:p>
      <w:pPr>
        <w:numPr>
          <w:ilvl w:val="0"/>
          <w:numId w:val="1005"/>
        </w:numPr>
        <w:pStyle w:val="Compact"/>
      </w:pPr>
      <w:r>
        <w:rPr>
          <w:bCs/>
          <w:b/>
        </w:rPr>
        <w:t xml:space="preserve">Bureaucratic Hurdles:</w:t>
      </w:r>
      <w:r>
        <w:t xml:space="preserve"> </w:t>
      </w:r>
      <w:r>
        <w:t xml:space="preserve">Complex administrative procedures within both university and government health sectors can delay project approvals.</w:t>
      </w:r>
    </w:p>
    <w:p>
      <w:pPr>
        <w:numPr>
          <w:ilvl w:val="0"/>
          <w:numId w:val="1005"/>
        </w:numPr>
        <w:pStyle w:val="Compact"/>
      </w:pPr>
      <w:r>
        <w:rPr>
          <w:bCs/>
          <w:b/>
        </w:rPr>
        <w:t xml:space="preserve">Talent Retention:</w:t>
      </w:r>
      <w:r>
        <w:t xml:space="preserve"> </w:t>
      </w:r>
      <w:r>
        <w:t xml:space="preserve">While many Medical Researchers contribute to national health, there is a persistent challenge in retaining top-tier scientific talent who may seek opportunities abroad due to limited funding or professional isolation.</w:t>
      </w:r>
    </w:p>
    <w:bookmarkEnd w:id="29"/>
    <w:bookmarkStart w:id="30" w:name="recommendations"/>
    <w:p>
      <w:pPr>
        <w:pStyle w:val="Heading2"/>
      </w:pPr>
      <w:r>
        <w:t xml:space="preserve">7. Recommendations</w:t>
      </w:r>
    </w:p>
    <w:p>
      <w:pPr>
        <w:pStyle w:val="FirstParagraph"/>
      </w:pPr>
      <w:r>
        <w:t xml:space="preserve">To enhance the efficacy and output of Medical Researchers in Iran, Tehran-based institutions should consider:</w:t>
      </w:r>
    </w:p>
    <w:p>
      <w:pPr>
        <w:numPr>
          <w:ilvl w:val="0"/>
          <w:numId w:val="1006"/>
        </w:numPr>
        <w:pStyle w:val="Compact"/>
      </w:pPr>
      <w:r>
        <w:rPr>
          <w:bCs/>
          <w:b/>
        </w:rPr>
        <w:t xml:space="preserve">Digital Integration:</w:t>
      </w:r>
      <w:r>
        <w:t xml:space="preserve"> </w:t>
      </w:r>
      <w:r>
        <w:t xml:space="preserve">Investing more heavily in digital health platforms to facilitate data sharing and remote collaboration with international partners.</w:t>
      </w:r>
    </w:p>
    <w:p>
      <w:pPr>
        <w:numPr>
          <w:ilvl w:val="0"/>
          <w:numId w:val="1006"/>
        </w:numPr>
        <w:pStyle w:val="Compact"/>
      </w:pPr>
      <w:r>
        <w:rPr>
          <w:bCs/>
          <w:b/>
        </w:rPr>
        <w:t xml:space="preserve">Prioritizing Local Manufacturing:</w:t>
      </w:r>
      <w:r>
        <w:t xml:space="preserve"> </w:t>
      </w:r>
      <w:r>
        <w:t xml:space="preserve">Expanding partnerships with domestic biotech firms to reduce dependency on imports for routine laboratory supplies.</w:t>
      </w:r>
    </w:p>
    <w:p>
      <w:pPr>
        <w:numPr>
          <w:ilvl w:val="0"/>
          <w:numId w:val="1006"/>
        </w:numPr>
        <w:pStyle w:val="Compact"/>
      </w:pPr>
      <w:r>
        <w:rPr>
          <w:bCs/>
          <w:b/>
        </w:rPr>
        <w:t xml:space="preserve">Educational Exchange:</w:t>
      </w:r>
      <w:r>
        <w:t xml:space="preserve"> </w:t>
      </w:r>
      <w:r>
        <w:t xml:space="preserve">Strengthening graduate programs that focus on data science and bioinformatics, equipping Medical Researchers with modern analytical tools.</w:t>
      </w:r>
    </w:p>
    <w:bookmarkEnd w:id="30"/>
    <w:bookmarkStart w:id="31" w:name="conclusion"/>
    <w:p>
      <w:pPr>
        <w:pStyle w:val="Heading2"/>
      </w:pPr>
      <w:r>
        <w:t xml:space="preserve">8. Conclusion</w:t>
      </w:r>
    </w:p>
    <w:p>
      <w:pPr>
        <w:pStyle w:val="FirstParagraph"/>
      </w:pPr>
      <w:r>
        <w:t xml:space="preserve">The Medical Researcher in Iran, Tehran stands as a figure of resilience and scientific adaptability. Operating within the constraints of geopolitical isolation yet fueled by a strong academic tradition, these researchers have made indelible marks in fields ranging from genomics to pandemic response. The Case Study concludes that while systemic challenges remain significant, the strategic focus on local health priorities combined with innovative collaboration networks ensures that Medical Researchers in Tehran will continue to play a pivotal role not only in national public health but also in the broader global medical community.</w:t>
      </w:r>
    </w:p>
    <w:p>
      <w:pPr>
        <w:pStyle w:val="BodyText"/>
      </w:pPr>
      <w:r>
        <w:t xml:space="preserve">The future of healthcare innovation in Iran relies heavily on sustaining this momentum. By continuing to support the infrastructure for Medical Researchers and fostering an environment where scientific inquiry can thrive despite external pressures, Tehran remains a vital node in the global network of medical knowledge production.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Medical Researchers in Iran, Tehran</dc:title>
  <dc:creator/>
  <cp:keywords/>
  <dcterms:created xsi:type="dcterms:W3CDTF">2026-07-29T10:29:29Z</dcterms:created>
  <dcterms:modified xsi:type="dcterms:W3CDTF">2026-07-29T10:29:29Z</dcterms:modified>
</cp:coreProperties>
</file>

<file path=docProps/custom.xml><?xml version="1.0" encoding="utf-8"?>
<Properties xmlns="http://schemas.openxmlformats.org/officeDocument/2006/custom-properties" xmlns:vt="http://schemas.openxmlformats.org/officeDocument/2006/docPropsVTypes"/>
</file>