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32" w:name="Xd0f771f9cfe008b1c982c495104f56288394cd2"/>
    <w:p>
      <w:pPr>
        <w:pStyle w:val="Heading1"/>
      </w:pPr>
      <w:r>
        <w:t xml:space="preserve">Case Study: The Role and Impact of a Medical Researcher in Japan, Osaka</w:t>
      </w:r>
    </w:p>
    <w:bookmarkStart w:id="20" w:name="executive-summary"/>
    <w:p>
      <w:pPr>
        <w:pStyle w:val="Heading2"/>
      </w:pPr>
      <w:r>
        <w:t xml:space="preserve">Executive Summary</w:t>
      </w:r>
    </w:p>
    <w:p>
      <w:pPr>
        <w:pStyle w:val="FirstParagraph"/>
      </w:pPr>
      <w:r>
        <w:t xml:space="preserve">This case study explores the multifaceted role of a Medical Researcher operating within the dynamic scientific ecosystem of Japan, specifically focusing on Osaka. As one of Japan’s most historically significant and economically vibrant cities, Osaka serves as a critical hub for biotechnology, pharmaceutical innovation, and clinical trials. This document analyzes how a dedicated Medical Researcher in this region navigates cultural expectations, leverages local infrastructure such as the Osaka Bioscience Institute (OBI), and contributes to global health initiatives while adhering to strict regulatory frameworks. The study highlights the unique intersection of traditional Japanese scientific rigor with modern translational medicine, demonstrating why Osaka is an ideal location for high-impact medical research.</w:t>
      </w:r>
    </w:p>
    <w:bookmarkEnd w:id="20"/>
    <w:bookmarkStart w:id="21" w:name="X6beec348c764440aebb5ede581d5ab1f6422510"/>
    <w:p>
      <w:pPr>
        <w:pStyle w:val="Heading2"/>
      </w:pPr>
      <w:r>
        <w:t xml:space="preserve">1. Introduction: The Context of Medical Research in Osaka</w:t>
      </w:r>
    </w:p>
    <w:p>
      <w:pPr>
        <w:pStyle w:val="FirstParagraph"/>
      </w:pPr>
      <w:r>
        <w:t xml:space="preserve">To understand the position of a Medical Researcher in Japan, one must first appreciate the specific geographic and academic landscape of Osaka. Unlike Tokyo, which is often associated with administrative government bodies, Osaka has historically positioned itself as a center for commerce and innovation. In recent decades, this has translated into robust support for life sciences. The city boasts world-class universities such as Osaka University (formerly Imperial University No. 3), Kyoto University (nearby), and Kindai University.</w:t>
      </w:r>
    </w:p>
    <w:p>
      <w:pPr>
        <w:pStyle w:val="BodyText"/>
      </w:pPr>
      <w:r>
        <w:t xml:space="preserve">For a Medical Researcher, Japan offers a unique data landscape characterized by homogenous genetic populations, which can simplify certain types of genomic studies. Furthermore, the country’s National Health Insurance system provides access to vast amounts of real-world health data. When combined with the Osaka-specific initiatives like the "Medicinal Product Development Promotion Area," researchers find a fertile ground for turning basic science into clinical applications. This case study posits that the Medical Researcher in this region is not merely an academic but a bridge between laboratory discovery and patient care.</w:t>
      </w:r>
    </w:p>
    <w:bookmarkEnd w:id="21"/>
    <w:bookmarkStart w:id="22" w:name="Xa796dde17caf3c182e9214d2efcfa14c51d4ab1"/>
    <w:p>
      <w:pPr>
        <w:pStyle w:val="Heading2"/>
      </w:pPr>
      <w:r>
        <w:t xml:space="preserve">2. Professional Profile: The Modern Medical Researcher</w:t>
      </w:r>
    </w:p>
    <w:p>
      <w:pPr>
        <w:pStyle w:val="FirstParagraph"/>
      </w:pPr>
      <w:r>
        <w:t xml:space="preserve">The profile of a Medical Researcher in Japan has evolved significantly. Traditionally, roles were siloed between basic scientists and clinicians. However, the current demand in Osaka drives a need for hybrid professionals who possess dual qualifications or strong collaborative networks between medicine and biology. These researchers are often tasked with:</w:t>
      </w:r>
    </w:p>
    <w:p>
      <w:pPr>
        <w:numPr>
          <w:ilvl w:val="0"/>
          <w:numId w:val="1001"/>
        </w:numPr>
        <w:pStyle w:val="Compact"/>
      </w:pPr>
      <w:r>
        <w:rPr>
          <w:bCs/>
          <w:b/>
        </w:rPr>
        <w:t xml:space="preserve">Clinical Trial Design:</w:t>
      </w:r>
      <w:r>
        <w:t xml:space="preserve"> </w:t>
      </w:r>
      <w:r>
        <w:t xml:space="preserve">Developing protocols that meet both Japanese Pharmaceuticals and Medical Devices Agency (PMDA) standards and international FDA/EMA requirements.</w:t>
      </w:r>
    </w:p>
    <w:p>
      <w:pPr>
        <w:numPr>
          <w:ilvl w:val="0"/>
          <w:numId w:val="1001"/>
        </w:numPr>
        <w:pStyle w:val="Compact"/>
      </w:pPr>
      <w:r>
        <w:rPr>
          <w:bCs/>
          <w:b/>
        </w:rPr>
        <w:t xml:space="preserve">Biomarker Discovery:</w:t>
      </w:r>
    </w:p>
    <w:p>
      <w:pPr>
        <w:numPr>
          <w:ilvl w:val="0"/>
          <w:numId w:val="1001"/>
        </w:numPr>
        <w:pStyle w:val="Compact"/>
      </w:pPr>
      <w:r>
        <w:rPr>
          <w:bCs/>
          <w:b/>
        </w:rPr>
        <w:t xml:space="preserve">Translational Medicine:</w:t>
      </w:r>
      <w:r>
        <w:t xml:space="preserve"> </w:t>
      </w:r>
      <w:r>
        <w:t xml:space="preserve">Ensuring that findings from mouse models or cell cultures are effectively translated into human therapeutic interventions.</w:t>
      </w:r>
    </w:p>
    <w:p>
      <w:pPr>
        <w:pStyle w:val="FirstParagraph"/>
      </w:pPr>
      <w:r>
        <w:t xml:space="preserve">In this context, the Medical Researcher acts as a key node in a network that includes hospital administrators, government regulators, and pharmaceutical industry partners. Their ability to communicate across these disciplines is as vital as their technical expertise.</w:t>
      </w:r>
    </w:p>
    <w:bookmarkEnd w:id="22"/>
    <w:bookmarkStart w:id="25" w:name="X1854bcf8505208184bd9d3089db30b086df1ce7"/>
    <w:p>
      <w:pPr>
        <w:pStyle w:val="Heading2"/>
      </w:pPr>
      <w:r>
        <w:t xml:space="preserve">3. Operational Challenges and Cultural Dynamics</w:t>
      </w:r>
    </w:p>
    <w:p>
      <w:pPr>
        <w:pStyle w:val="FirstParagraph"/>
      </w:pPr>
      <w:r>
        <w:t xml:space="preserve">Navigating the research environment in Japan presents distinct challenges for both domestic and international Medical Researchers. One of the primary hurdles is linguistic precision. Medical terminology in Japanese is highly technical, and maintaining accuracy while translating complex concepts for regulatory submission requires exceptional skill.</w:t>
      </w:r>
    </w:p>
    <w:bookmarkStart w:id="23" w:name="the-hierarchy-and-consensus-culture"/>
    <w:p>
      <w:pPr>
        <w:pStyle w:val="Heading3"/>
      </w:pPr>
      <w:r>
        <w:t xml:space="preserve">3.1 The Hierarchy and Consensus Culture</w:t>
      </w:r>
    </w:p>
    <w:p>
      <w:pPr>
        <w:pStyle w:val="FirstParagraph"/>
      </w:pPr>
      <w:r>
        <w:t xml:space="preserve">Japanese workplace culture emphasizes harmony (*wa*) and consensus (*nemawashi*). For a Medical Researcher leading a project, this means that decision-making processes can be slower compared to Western counterparts. Proposals must be thoroughly vetted by senior colleagues before official approval. While this ensures high-quality oversight and minimizes risk, it requires patience and strong interpersonal skills from the researcher.</w:t>
      </w:r>
    </w:p>
    <w:bookmarkEnd w:id="23"/>
    <w:bookmarkStart w:id="24" w:name="regulatory-rigor"/>
    <w:p>
      <w:pPr>
        <w:pStyle w:val="Heading3"/>
      </w:pPr>
      <w:r>
        <w:t xml:space="preserve">3.2 Regulatory Rigor</w:t>
      </w:r>
    </w:p>
    <w:p>
      <w:pPr>
        <w:pStyle w:val="FirstParagraph"/>
      </w:pPr>
      <w:r>
        <w:t xml:space="preserve">The PMDA is known for its stringent review processes. A Medical Researcher in Osaka must adhere to Good Clinical Practice (GCP) guidelines with meticulous attention to detail. Any deviation in data collection or patient consent procedures can halt a study. This rigor ensures patient safety but demands that researchers maintain impeccable documentation standards.</w:t>
      </w:r>
    </w:p>
    <w:bookmarkEnd w:id="24"/>
    <w:bookmarkEnd w:id="25"/>
    <w:bookmarkStart w:id="28" w:name="X5e11adc3a0ad5403ed335425599a4491a86e78d"/>
    <w:p>
      <w:pPr>
        <w:pStyle w:val="Heading2"/>
      </w:pPr>
      <w:r>
        <w:t xml:space="preserve">4. Case Scenario: Developing a Novel Therapy for Gastric Cancer</w:t>
      </w:r>
    </w:p>
    <w:p>
      <w:pPr>
        <w:pStyle w:val="FirstParagraph"/>
      </w:pPr>
      <w:r>
        <w:t xml:space="preserve">To illustrate the practical application of these concepts, consider a hypothetical but representative scenario involving a Medical Researcher based in Osaka’s Suita Science City. Gastric cancer remains one of the leading causes of cancer-related death in Japan, making it a priority area for research funding.</w:t>
      </w:r>
    </w:p>
    <w:bookmarkStart w:id="26" w:name="the-initiative"/>
    <w:p>
      <w:pPr>
        <w:pStyle w:val="Heading3"/>
      </w:pPr>
      <w:r>
        <w:t xml:space="preserve">4.1 The Initiative</w:t>
      </w:r>
    </w:p>
    <w:p>
      <w:pPr>
        <w:pStyle w:val="FirstParagraph"/>
      </w:pPr>
      <w:r>
        <w:t xml:space="preserve">The researcher identifies a potential target protein expressed on the surface of gastric tumor cells that is less prevalent in healthy tissue. Leveraging Osaka’s strong pharmaceutical industry presence (including major headquarters for companies like Takeda and Astellas), the researcher initiates a collaboration to develop a monoclonal antibody therapy.</w:t>
      </w:r>
    </w:p>
    <w:bookmarkEnd w:id="26"/>
    <w:bookmarkStart w:id="27" w:name="the-process"/>
    <w:p>
      <w:pPr>
        <w:pStyle w:val="Heading3"/>
      </w:pPr>
      <w:r>
        <w:t xml:space="preserve">4.2 The Process</w:t>
      </w:r>
    </w:p>
    <w:p>
      <w:pPr>
        <w:pStyle w:val="FirstParagraph"/>
      </w:pPr>
      <w:r>
        <w:rPr>
          <w:bCs/>
          <w:b/>
        </w:rPr>
        <w:t xml:space="preserve">Pre-Clinical Phase:</w:t>
      </w:r>
      <w:r>
        <w:t xml:space="preserve"> </w:t>
      </w:r>
      <w:r>
        <w:t xml:space="preserve">Working within university laboratories, the team validates the efficacy of the compound in mouse models. Here, they utilize Osaka’s shared research facilities to reduce costs and access specialized equipment.</w:t>
      </w:r>
    </w:p>
    <w:p>
      <w:pPr>
        <w:pStyle w:val="BodyText"/>
      </w:pPr>
      <w:r>
        <w:rPr>
          <w:bCs/>
          <w:b/>
        </w:rPr>
        <w:t xml:space="preserve">Clinical Trial Preparation:</w:t>
      </w:r>
      <w:r>
        <w:t xml:space="preserve"> </w:t>
      </w:r>
      <w:r>
        <w:t xml:space="preserve">The researcher prepares an Investigational New Drug (IND) application. This involves coordinating with ethical review boards at local hospitals, such as Osaka University Hospital. The consensus-building phase (*nemawashi*) takes several months as stakeholders align on the inclusion criteria for patients.</w:t>
      </w:r>
    </w:p>
    <w:p>
      <w:pPr>
        <w:pStyle w:val="BodyText"/>
      </w:pPr>
      <w:r>
        <w:rPr>
          <w:bCs/>
          <w:b/>
        </w:rPr>
        <w:t xml:space="preserve">Execution:</w:t>
      </w:r>
      <w:r>
        <w:t xml:space="preserve"> </w:t>
      </w:r>
      <w:r>
        <w:t xml:space="preserve">Phase I trials are launched in a designated clinical trial center in Osaka. The Medical Researcher monitors safety data closely, ensuring that adverse events are reported immediately to the PMDA and institutional ethics committees.</w:t>
      </w:r>
    </w:p>
    <w:bookmarkEnd w:id="27"/>
    <w:bookmarkEnd w:id="28"/>
    <w:bookmarkStart w:id="29" w:name="X1c8e45744379a8795e3abb2ba325d3619bf04a1"/>
    <w:p>
      <w:pPr>
        <w:pStyle w:val="Heading2"/>
      </w:pPr>
      <w:r>
        <w:t xml:space="preserve">5. Strategic Advantages of the Osaka Location</w:t>
      </w:r>
    </w:p>
    <w:p>
      <w:pPr>
        <w:pStyle w:val="FirstParagraph"/>
      </w:pPr>
      <w:r>
        <w:t xml:space="preserve">The choice of Japan, specifically Osaka, offers several strategic advantages for a Medical Researcher:</w:t>
      </w:r>
    </w:p>
    <w:p>
      <w:pPr>
        <w:numPr>
          <w:ilvl w:val="0"/>
          <w:numId w:val="1002"/>
        </w:numPr>
        <w:pStyle w:val="Compact"/>
      </w:pPr>
      <w:r>
        <w:rPr>
          <w:bCs/>
          <w:b/>
        </w:rPr>
        <w:t xml:space="preserve">Collaborative Ecosystem:</w:t>
      </w:r>
      <w:r>
        <w:t xml:space="preserve"> </w:t>
      </w:r>
      <w:r>
        <w:t xml:space="preserve">The proximity to Kyoto and Kobe creates a "Kansai Megalopolis" research cluster. Researchers can easily collaborate with peers across institutional boundaries.</w:t>
      </w:r>
    </w:p>
    <w:p>
      <w:pPr>
        <w:numPr>
          <w:ilvl w:val="0"/>
          <w:numId w:val="1002"/>
        </w:numPr>
        <w:pStyle w:val="Compact"/>
      </w:pPr>
      <w:r>
        <w:rPr>
          <w:bCs/>
          <w:b/>
        </w:rPr>
        <w:t xml:space="preserve">Funding Opportunities:</w:t>
      </w:r>
      <w:r>
        <w:t xml:space="preserve"> </w:t>
      </w:r>
      <w:r>
        <w:t xml:space="preserve">Both the Japanese government’s Strategic Innovation Creation Program (SIP) and private foundations provide substantial grants for life sciences initiatives in Osaka.</w:t>
      </w:r>
    </w:p>
    <w:p>
      <w:pPr>
        <w:numPr>
          <w:ilvl w:val="0"/>
          <w:numId w:val="1002"/>
        </w:numPr>
        <w:pStyle w:val="Compact"/>
      </w:pPr>
      <w:r>
        <w:rPr>
          <w:bCs/>
          <w:b/>
        </w:rPr>
        <w:t xml:space="preserve">Patient Diversity within Homogeneity:</w:t>
      </w:r>
      <w:r>
        <w:t xml:space="preserve"> </w:t>
      </w:r>
      <w:r>
        <w:t xml:space="preserve">While the genetic pool is relatively homogeneous, Japan has an aging population. This provides a critical cohort for studying age-related diseases, including Alzheimer’s and cardiovascular conditions, which are major global health concerns.</w:t>
      </w:r>
    </w:p>
    <w:bookmarkEnd w:id="29"/>
    <w:bookmarkStart w:id="30" w:name="conclusion-and-future-outlook"/>
    <w:p>
      <w:pPr>
        <w:pStyle w:val="Heading2"/>
      </w:pPr>
      <w:r>
        <w:t xml:space="preserve">6. Conclusion and Future Outlook</w:t>
      </w:r>
    </w:p>
    <w:p>
      <w:pPr>
        <w:pStyle w:val="FirstParagraph"/>
      </w:pPr>
      <w:r>
        <w:t xml:space="preserve">The role of a Medical Researcher in Japan, particularly in the bustling scientific hub of Osaka, is one of critical importance and complex responsibility. It requires a balance of scientific innovation, cultural sensitivity, and regulatory compliance. As seen in the gastric cancer scenario, success depends not only on individual brilliance but on the ability to navigate collaborative networks and institutional structures.</w:t>
      </w:r>
    </w:p>
    <w:p>
      <w:pPr>
        <w:pStyle w:val="BodyText"/>
      </w:pPr>
      <w:r>
        <w:t xml:space="preserve">Looking forward, the integration of Artificial Intelligence (AI) into medical research is accelerating in Osaka. The Medical Researcher of tomorrow will likely work alongside AI specialists to analyze large datasets generated by Japan’s electronic health records. Furthermore, as Japan seeks to become a global leader in regenerative medicine following its earlier breakthroughs with stem cells, the opportunities for researchers in this region are expanding rapidly.</w:t>
      </w:r>
    </w:p>
    <w:p>
      <w:pPr>
        <w:pStyle w:val="BodyText"/>
      </w:pPr>
      <w:r>
        <w:t xml:space="preserve">In summary, a Medical Researcher in Japan Osaka is more than a scientist; they are an integral component of the nation’s healthcare future. By leveraging Osaka’s unique industrial-academic partnerships and respecting the meticulous nature of Japanese scientific tradition, these researchers contribute significantly to advancements in human health on both national and global scales.</w:t>
      </w:r>
    </w:p>
    <w:bookmarkEnd w:id="30"/>
    <w:bookmarkStart w:id="31" w:name="key-takeaways"/>
    <w:p>
      <w:pPr>
        <w:pStyle w:val="Heading3"/>
      </w:pPr>
      <w:r>
        <w:t xml:space="preserve">Key Takeaways</w:t>
      </w:r>
    </w:p>
    <w:p>
      <w:pPr>
        <w:numPr>
          <w:ilvl w:val="0"/>
          <w:numId w:val="1003"/>
        </w:numPr>
        <w:pStyle w:val="Compact"/>
      </w:pPr>
      <w:r>
        <w:rPr>
          <w:bCs/>
          <w:b/>
        </w:rPr>
        <w:t xml:space="preserve">Cultural Fit:</w:t>
      </w:r>
      <w:r>
        <w:t xml:space="preserve"> </w:t>
      </w:r>
      <w:r>
        <w:t xml:space="preserve">Success requires understanding consensus-based decision-making and hierarchical respect.</w:t>
      </w:r>
    </w:p>
    <w:p>
      <w:pPr>
        <w:numPr>
          <w:ilvl w:val="0"/>
          <w:numId w:val="1003"/>
        </w:numPr>
        <w:pStyle w:val="Compact"/>
      </w:pPr>
      <w:r>
        <w:rPr>
          <w:bCs/>
          <w:b/>
        </w:rPr>
        <w:t xml:space="preserve">Leverage Local Strengths:</w:t>
      </w:r>
      <w:r>
        <w:t xml:space="preserve"> </w:t>
      </w:r>
      <w:r>
        <w:t xml:space="preserve">Utilize Osaka’s pharmaceutical industry partnerships and academic institutions like Osaka University.</w:t>
      </w:r>
    </w:p>
    <w:p>
      <w:pPr>
        <w:numPr>
          <w:ilvl w:val="0"/>
          <w:numId w:val="1003"/>
        </w:numPr>
        <w:pStyle w:val="Compact"/>
      </w:pPr>
      <w:r>
        <w:t xml:space="preserve">Rigorous Compliance: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Medical Researcher in Japan, Osaka</dc:title>
  <dc:creator/>
  <cp:keywords/>
  <dcterms:created xsi:type="dcterms:W3CDTF">2026-07-29T15:33:08Z</dcterms:created>
  <dcterms:modified xsi:type="dcterms:W3CDTF">2026-07-29T15:33:08Z</dcterms:modified>
</cp:coreProperties>
</file>

<file path=docProps/custom.xml><?xml version="1.0" encoding="utf-8"?>
<Properties xmlns="http://schemas.openxmlformats.org/officeDocument/2006/custom-properties" xmlns:vt="http://schemas.openxmlformats.org/officeDocument/2006/docPropsVTypes"/>
</file>