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83994e15706946aef9c89e0da39b02830ff8d76"/>
    <w:p>
      <w:pPr>
        <w:pStyle w:val="Heading1"/>
      </w:pPr>
      <w:r>
        <w:t xml:space="preserve">Bridging Tradition and Innovation: A Comprehensive Case Study on the Medical Researcher in Malaysia, Kuala Lumpur</w:t>
      </w:r>
    </w:p>
    <w:p>
      <w:pPr>
        <w:pStyle w:val="FirstParagraph"/>
      </w:pPr>
      <w:r>
        <w:rPr>
          <w:bCs/>
          <w:b/>
        </w:rPr>
        <w:t xml:space="preserve">Date:</w:t>
      </w:r>
      <w:r>
        <w:t xml:space="preserve"> </w:t>
      </w:r>
      <w:r>
        <w:t xml:space="preserve">October 2023</w:t>
      </w:r>
      <w:r>
        <w:br/>
      </w:r>
      <w:r>
        <w:rPr>
          <w:bCs/>
          <w:b/>
        </w:rPr>
        <w:t xml:space="preserve">Subject:</w:t>
      </w:r>
      <w:r>
        <w:t xml:space="preserve">The Role, Challenges, and Impact of the Medical Researcher within the Malaysian Healthcare Ecosystem</w:t>
      </w:r>
      <w:r>
        <w:br/>
      </w:r>
      <w:r>
        <w:rPr>
          <w:bCs/>
          <w:b/>
        </w:rPr>
        <w:t xml:space="preserve">Location Context:</w:t>
      </w:r>
      <w:r>
        <w:t xml:space="preserve"> </w:t>
      </w:r>
      <w:r>
        <w:t xml:space="preserve">Malaysia, Kuala Lumpur</w:t>
      </w:r>
    </w:p>
    <w:p>
      <w:pPr>
        <w:pStyle w:val="BodyText"/>
      </w:pPr>
      <w:r>
        <w:t xml:space="preserve">This Case Study examines the dynamic role of the medical researcher operating within Malaysia, Kuala Lumpur. As a developing nation with a robust healthcare infrastructure and a government committed to becoming a global hub for medical tourism and pharmaceutical innovation, Kuala Lumpur serves as the epicenter of biomedical advancement in Southeast Asia. This document explores how the modern Medical Researcher is navigating complex regulatory environments, collaborating with international entities, and addressing local health disparities while driving scientific excellence.</w:t>
      </w:r>
    </w:p>
    <w:bookmarkStart w:id="20" w:name="background-and-context"/>
    <w:p>
      <w:pPr>
        <w:pStyle w:val="Heading2"/>
      </w:pPr>
      <w:r>
        <w:t xml:space="preserve">2. Background and Context</w:t>
      </w:r>
    </w:p>
    <w:p>
      <w:pPr>
        <w:pStyle w:val="FirstParagraph"/>
      </w:pPr>
      <w:r>
        <w:rPr>
          <w:bCs/>
          <w:b/>
        </w:rPr>
        <w:t xml:space="preserve">Kuala Lumpur</w:t>
      </w:r>
      <w:r>
        <w:t xml:space="preserve">, as the capital city of Malaysia, is not merely a political and economic hub but also the primary center for healthcare innovation in the region. The city hosts prestigious institutions such as Universiti Malaya (UM), University of Malaya Medical Centre (UMMC), and several multinational pharmaceutical R&amp;D centers. In this vibrant ecosystem, the</w:t>
      </w:r>
      <w:r>
        <w:t xml:space="preserve"> </w:t>
      </w:r>
      <w:r>
        <w:rPr>
          <w:bCs/>
          <w:b/>
        </w:rPr>
        <w:t xml:space="preserve">Medical Researcher</w:t>
      </w:r>
      <w:r>
        <w:t xml:space="preserve"> </w:t>
      </w:r>
      <w:r>
        <w:t xml:space="preserve">plays a pivotal role in translating scientific discovery into clinical application.</w:t>
      </w:r>
    </w:p>
    <w:p>
      <w:pPr>
        <w:pStyle w:val="BodyText"/>
      </w:pPr>
      <w:r>
        <w:t xml:space="preserve">The landscape for medical research in Malaysia has evolved significantly over the last decade. The Malaysian government’s "MyDIGITAL" initiative and the National Policy on Biotechnology and Biosciences have created fertile ground for researchers. However, this growth comes with unique challenges specific to a multicultural society like Malaysia, where genetic diversity requires tailored research approaches.</w:t>
      </w:r>
    </w:p>
    <w:bookmarkEnd w:id="20"/>
    <w:bookmarkStart w:id="21" w:name="X5ab840f78c6129f2a1cdd848e9d86132043853e"/>
    <w:p>
      <w:pPr>
        <w:pStyle w:val="Heading2"/>
      </w:pPr>
      <w:r>
        <w:t xml:space="preserve">3. Profile of the Medical Researcher in Kuala Lumpur</w:t>
      </w:r>
    </w:p>
    <w:p>
      <w:pPr>
        <w:pStyle w:val="FirstParagraph"/>
      </w:pPr>
      <w:r>
        <w:t xml:space="preserve">The contemporary Medical Researcher in Kuala Lumpur is often a multidisciplinary professional. Unlike traditional scientists who work solely in laboratories, the modern researcher here frequently collaborates with clinicians, epidemiologists, data scientists, and public health officials. The typical profile includes:</w:t>
      </w:r>
    </w:p>
    <w:p>
      <w:pPr>
        <w:numPr>
          <w:ilvl w:val="0"/>
          <w:numId w:val="1001"/>
        </w:numPr>
        <w:pStyle w:val="Compact"/>
      </w:pPr>
      <w:r>
        <w:rPr>
          <w:bCs/>
          <w:b/>
        </w:rPr>
        <w:t xml:space="preserve">Clinical Background:</w:t>
      </w:r>
      <w:r>
        <w:t xml:space="preserve"> </w:t>
      </w:r>
      <w:r>
        <w:t xml:space="preserve">Many researchers hold dual qualifications (MD/PhD), allowing them to bridge the gap between bedside observations and laboratory experiments.</w:t>
      </w:r>
    </w:p>
    <w:p>
      <w:pPr>
        <w:numPr>
          <w:ilvl w:val="0"/>
          <w:numId w:val="1001"/>
        </w:numPr>
        <w:pStyle w:val="Compact"/>
      </w:pPr>
      <w:r>
        <w:rPr>
          <w:bCs/>
          <w:b/>
        </w:rPr>
        <w:t xml:space="preserve">Digital Literacy:</w:t>
      </w:r>
      <w:r>
        <w:t xml:space="preserve"> </w:t>
      </w:r>
      <w:r>
        <w:t xml:space="preserve">Proficiency in big data analytics is increasingly crucial, given Kuala Lumpur’s push for smart city initiatives in healthcare.</w:t>
      </w:r>
    </w:p>
    <w:p>
      <w:pPr>
        <w:numPr>
          <w:ilvl w:val="0"/>
          <w:numId w:val="1001"/>
        </w:numPr>
        <w:pStyle w:val="Compact"/>
      </w:pPr>
      <w:r>
        <w:rPr>
          <w:bCs/>
          <w:b/>
        </w:rPr>
        <w:t xml:space="preserve">Cultural Competency:</w:t>
      </w:r>
      <w:r>
        <w:t xml:space="preserve"> </w:t>
      </w:r>
      <w:r>
        <w:t xml:space="preserve">Researchers must understand the diverse ethnic makeup of Malaysia (Malay, Chinese, Indian, and indigenous groups) to ensure inclusive study populations.</w:t>
      </w:r>
    </w:p>
    <w:bookmarkEnd w:id="21"/>
    <w:bookmarkStart w:id="25" w:name="key-focus-areas"/>
    <w:p>
      <w:pPr>
        <w:pStyle w:val="Heading2"/>
      </w:pPr>
      <w:r>
        <w:t xml:space="preserve">4. Key Focus Areas</w:t>
      </w:r>
    </w:p>
    <w:p>
      <w:pPr>
        <w:pStyle w:val="FirstParagraph"/>
      </w:pPr>
      <w:r>
        <w:t xml:space="preserve">The work of the Medical Researcher in this region is directed toward several critical health priorities:</w:t>
      </w:r>
    </w:p>
    <w:bookmarkStart w:id="22" w:name="ncds-and-lifestyle-diseases"/>
    <w:p>
      <w:pPr>
        <w:pStyle w:val="Heading3"/>
      </w:pPr>
      <w:r>
        <w:rPr>
          <w:bCs/>
          <w:b/>
        </w:rPr>
        <w:t xml:space="preserve">NCDs and Lifestyle Diseases</w:t>
      </w:r>
    </w:p>
    <w:p>
      <w:pPr>
        <w:pStyle w:val="FirstParagraph"/>
      </w:pPr>
      <w:r>
        <w:t xml:space="preserve">Malaysia faces a high prevalence of Non-Communicable Diseases (NCDs), particularly diabetes, hypertension, and cardiovascular diseases. Medical Researchers are actively investigating genetic predispositions within the local population to develop personalized treatment plans. For instance, recent studies in Kuala Lumpur have focused on the metabolic differences among Malay and Chinese populations regarding diabetes management.</w:t>
      </w:r>
    </w:p>
    <w:bookmarkEnd w:id="22"/>
    <w:bookmarkStart w:id="23" w:name="infectious-disease-surveillance"/>
    <w:p>
      <w:pPr>
        <w:pStyle w:val="Heading3"/>
      </w:pPr>
      <w:r>
        <w:rPr>
          <w:bCs/>
          <w:b/>
        </w:rPr>
        <w:t xml:space="preserve">Infectious Disease Surveillance</w:t>
      </w:r>
    </w:p>
    <w:p>
      <w:pPr>
        <w:pStyle w:val="FirstParagraph"/>
      </w:pPr>
      <w:r>
        <w:t xml:space="preserve">Following global health crises, there is an intensified focus on infectious diseases. Researchers in KL are leading efforts in vaccine development, rapid diagnostic testing kits for Dengue fever (a major endemic threat), and genomic sequencing of emerging pathogens. The National Institute for Medical Research (NIMR) in Kuala Lumpur serves as a key facility for such work.</w:t>
      </w:r>
    </w:p>
    <w:bookmarkEnd w:id="23"/>
    <w:bookmarkStart w:id="24" w:name="traditional-medicine-and-phytochemistry"/>
    <w:p>
      <w:pPr>
        <w:pStyle w:val="Heading3"/>
      </w:pPr>
      <w:r>
        <w:rPr>
          <w:bCs/>
          <w:b/>
        </w:rPr>
        <w:t xml:space="preserve">Traditional Medicine and Phytochemistry</w:t>
      </w:r>
    </w:p>
    <w:p>
      <w:pPr>
        <w:pStyle w:val="FirstParagraph"/>
      </w:pPr>
      <w:r>
        <w:t xml:space="preserve">A unique aspect of the Malaysian context is the integration of Traditional Complementary and Alternative Medicine (T-CAM). Medical Researchers are scientifically validating traditional herbal remedies, ensuring safety and efficacy through rigorous clinical trials. This preserves cultural heritage while meeting international scientific standards.</w:t>
      </w:r>
    </w:p>
    <w:bookmarkEnd w:id="24"/>
    <w:bookmarkEnd w:id="25"/>
    <w:bookmarkStart w:id="26" w:name="institutional-frameworks-in-kuala-lumpur"/>
    <w:p>
      <w:pPr>
        <w:pStyle w:val="Heading2"/>
      </w:pPr>
      <w:r>
        <w:t xml:space="preserve">5. Institutional Frameworks in Kuala Lumpur</w:t>
      </w:r>
    </w:p>
    <w:p>
      <w:pPr>
        <w:pStyle w:val="FirstParagraph"/>
      </w:pPr>
      <w:r>
        <w:t xml:space="preserve">The success of the Medical Researcher depends heavily on the supporting infrastructure available in Kuala Lumpur:</w:t>
      </w:r>
    </w:p>
    <w:p>
      <w:pPr>
        <w:numPr>
          <w:ilvl w:val="0"/>
          <w:numId w:val="1002"/>
        </w:numPr>
        <w:pStyle w:val="Compact"/>
      </w:pPr>
      <w:r>
        <w:rPr>
          <w:bCs/>
          <w:b/>
        </w:rPr>
        <w:t xml:space="preserve">National Institutes of Health (NIH):</w:t>
      </w:r>
      <w:r>
        <w:t xml:space="preserve"> </w:t>
      </w:r>
      <w:r>
        <w:t xml:space="preserve">Located within the Ministry of Health, NIH provides funding and technical expertise.</w:t>
      </w:r>
    </w:p>
    <w:p>
      <w:pPr>
        <w:numPr>
          <w:ilvl w:val="0"/>
          <w:numId w:val="1002"/>
        </w:numPr>
        <w:pStyle w:val="Compact"/>
      </w:pPr>
      <w:r>
        <w:rPr>
          <w:bCs/>
          <w:b/>
        </w:rPr>
        <w:t xml:space="preserve">MOSTI (Ministry of Science, Technology and Innovation):</w:t>
      </w:r>
      <w:r>
        <w:t xml:space="preserve"> </w:t>
      </w:r>
      <w:r>
        <w:t xml:space="preserve">Offers grants for applied research.</w:t>
      </w:r>
    </w:p>
    <w:p>
      <w:pPr>
        <w:numPr>
          <w:ilvl w:val="0"/>
          <w:numId w:val="1002"/>
        </w:numPr>
        <w:pStyle w:val="Compact"/>
      </w:pPr>
      <w:r>
        <w:rPr>
          <w:bCs/>
          <w:b/>
        </w:rPr>
        <w:t xml:space="preserve">Private Sector Partnerships:</w:t>
      </w:r>
      <w:r>
        <w:t xml:space="preserve"> </w:t>
      </w:r>
      <w:r>
        <w:t xml:space="preserve">Multinational corporations like Pfizer, Novartis, and AstraZeneca have R&amp;D hubs in Kuala Lumpur, fostering public-private partnerships that accelerate drug discovery.</w:t>
      </w:r>
    </w:p>
    <w:p>
      <w:pPr>
        <w:pStyle w:val="FirstParagraph"/>
      </w:pPr>
      <w:r>
        <w:t xml:space="preserve">6. Challenges Faced by Medical Researchers</w:t>
      </w:r>
      <w:r>
        <w:t xml:space="preserve"> </w:t>
      </w:r>
      <w:r>
        <w:t xml:space="preserve">Despite the progress significant hurdles remain for the Medical Researcher in Malaysia:</w:t>
      </w:r>
    </w:p>
    <w:p>
      <w:pPr>
        <w:pStyle w:val="BodyText"/>
      </w:pPr>
      <w:r>
        <w:rPr>
          <w:bCs/>
          <w:b/>
        </w:rPr>
        <w:t xml:space="preserve">Bureaucratic Delays:</w:t>
      </w:r>
      <w:r>
        <w:br/>
      </w:r>
      <w:r>
        <w:t xml:space="preserve">Ethical clearance and regulatory approvals can be time-consuming, potentially delaying critical research projects.</w:t>
      </w:r>
    </w:p>
    <w:p>
      <w:pPr>
        <w:pStyle w:val="BodyText"/>
      </w:pPr>
      <w:r>
        <w:rPr>
          <w:bCs/>
          <w:b/>
        </w:rPr>
        <w:t xml:space="preserve">Funding Limitations:</w:t>
      </w:r>
      <w:r>
        <w:t xml:space="preserve"> </w:t>
      </w:r>
      <w:r>
        <w:t xml:space="preserve">While government grants exist, they are often competitive. Researchers must frequently seek international collaboration to secure sufficient funding for large-scale trials.</w:t>
      </w:r>
    </w:p>
    <w:p>
      <w:pPr>
        <w:pStyle w:val="BodyText"/>
      </w:pPr>
      <w:r>
        <w:rPr>
          <w:bCs/>
          <w:b/>
        </w:rPr>
        <w:t xml:space="preserve">Talent Retention:</w:t>
      </w:r>
      <w:r>
        <w:t xml:space="preserve"> </w:t>
      </w:r>
      <w:r>
        <w:t xml:space="preserve">There is a "brain drain" phenomenon where top-tier researchers migrate to Europe or North America for better resources and career prospects. Kuala Lumpur faces the challenge of retaining local talent.</w:t>
      </w:r>
    </w:p>
    <w:p>
      <w:pPr>
        <w:pStyle w:val="BodyText"/>
      </w:pPr>
      <w:r>
        <w:rPr>
          <w:bCs/>
          <w:b/>
        </w:rPr>
        <w:t xml:space="preserve">Data Privacy Concerns:</w:t>
      </w:r>
    </w:p>
    <w:p>
      <w:pPr>
        <w:pStyle w:val="BodyText"/>
      </w:pPr>
      <w:r>
        <w:t xml:space="preserve">As digital health records become more prevalent, adhering to strict data protection laws while sharing data for global research collaboration remains a complex legal and ethical issue.</w:t>
      </w:r>
    </w:p>
    <w:p>
      <w:pPr>
        <w:pStyle w:val="BodyText"/>
      </w:pPr>
      <w:r>
        <w:t xml:space="preserve">7. Strategic Recommendations</w:t>
      </w:r>
      <w:r>
        <w:t xml:space="preserve"> </w:t>
      </w:r>
      <w:r>
        <w:t xml:space="preserve">To empower the Medical Researcher and enhance Kuala Lumpur’s status as a medical hub, the following strategies are recommended:</w:t>
      </w:r>
    </w:p>
    <w:p>
      <w:pPr>
        <w:numPr>
          <w:ilvl w:val="0"/>
          <w:numId w:val="1003"/>
        </w:numPr>
        <w:pStyle w:val="Compact"/>
      </w:pPr>
      <w:r>
        <w:rPr>
          <w:bCs/>
          <w:b/>
        </w:rPr>
        <w:t xml:space="preserve">International Collaboration:</w:t>
      </w:r>
    </w:p>
    <w:p>
      <w:pPr>
        <w:numPr>
          <w:ilvl w:val="0"/>
          <w:numId w:val="1000"/>
        </w:numPr>
        <w:pStyle w:val="Compact"/>
      </w:pPr>
      <w:r>
        <w:t xml:space="preserve">Increase joint ventures with universities in Japan, Australia, and Europe to share knowledge and resources.</w:t>
      </w:r>
    </w:p>
    <w:p>
      <w:pPr>
        <w:numPr>
          <w:ilvl w:val="0"/>
          <w:numId w:val="1003"/>
        </w:numPr>
        <w:pStyle w:val="Compact"/>
      </w:pPr>
      <w:r>
        <w:rPr>
          <w:bCs/>
          <w:b/>
        </w:rPr>
        <w:t xml:space="preserve">Streamlined Regulations:</w:t>
      </w:r>
    </w:p>
    <w:p>
      <w:pPr>
        <w:numPr>
          <w:ilvl w:val="0"/>
          <w:numId w:val="1000"/>
        </w:numPr>
        <w:pStyle w:val="Compact"/>
      </w:pPr>
      <w:r>
        <w:t xml:space="preserve">Create a "fast-track" ethical review process for low-risk studies to accelerate research timelines.</w:t>
      </w:r>
    </w:p>
    <w:p>
      <w:pPr>
        <w:numPr>
          <w:ilvl w:val="0"/>
          <w:numId w:val="1003"/>
        </w:numPr>
        <w:pStyle w:val="Compact"/>
      </w:pPr>
      <w:r>
        <w:rPr>
          <w:bCs/>
          <w:b/>
        </w:rPr>
        <w:t xml:space="preserve">Incentivize Local Talent:</w:t>
      </w:r>
    </w:p>
    <w:p>
      <w:pPr>
        <w:numPr>
          <w:ilvl w:val="0"/>
          <w:numId w:val="1000"/>
        </w:numPr>
        <w:pStyle w:val="Compact"/>
      </w:pPr>
      <w:r>
        <w:t xml:space="preserve">Offer competitive grants, housing benefits, and clear career progression paths to retain skilled researchers in Kuala Lumpur.</w:t>
      </w:r>
    </w:p>
    <w:p>
      <w:pPr>
        <w:pStyle w:val="FirstParagraph"/>
      </w:pPr>
      <w:r>
        <w:t xml:space="preserve">The Medical Researcher in Malaysia, specifically within the dynamic environment of Kuala Lumpur, is at the forefront of a healthcare revolution. They are tasked with solving local health issues while contributing to global scientific knowledge. By leveraging Kuala Lumpur’s strategic location, robust infrastructure, and multicultural diversity, these researchers are shaping the future of medicine in Southeast Asia.</w:t>
      </w:r>
    </w:p>
    <w:p>
      <w:pPr>
        <w:pStyle w:val="BodyText"/>
      </w:pPr>
      <w:r>
        <w:t xml:space="preserve">However, realizing their full potential requires sustained government support, reduced bureaucratic friction, and enhanced international connectivity. As Malaysia continues to invest in its biotechnology sector,</w:t>
      </w:r>
      <w:r>
        <w:br/>
      </w:r>
      <w:r>
        <w:t xml:space="preserve">the role of the Medical Researcher will only grow in importance. They are not just scientists; they are architects of a healthier nation.</w:t>
      </w:r>
    </w:p>
    <w:p>
      <w:pPr>
        <w:pStyle w:val="BodyText"/>
      </w:pPr>
      <w:r>
        <w:t xml:space="preserve">This Case Study underscores that for Kuala Lumpur to achieve its vision of being a premier medical hub, empowering the Medical Researcher is not just an academic exercise—it is a national imperative. The synergy between local expertise and global standards will define the next decade of medical advancement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Medical Researcher in Malaysia, Kuala Lumpur</dc:title>
  <dc:creator/>
  <dc:language>en</dc:language>
  <cp:keywords/>
  <dcterms:created xsi:type="dcterms:W3CDTF">2026-07-29T13:06:34Z</dcterms:created>
  <dcterms:modified xsi:type="dcterms:W3CDTF">2026-07-29T13:06:34Z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