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Precision</w:t>
      </w:r>
      <w:r>
        <w:t xml:space="preserve"> </w:t>
      </w:r>
      <w:r>
        <w:t xml:space="preserve">Oncology</w:t>
      </w:r>
      <w:r>
        <w:t xml:space="preserve"> </w:t>
      </w:r>
      <w:r>
        <w:t xml:space="preserve">in</w:t>
      </w:r>
      <w:r>
        <w:t xml:space="preserve"> </w:t>
      </w:r>
      <w:r>
        <w:t xml:space="preserve">Netherlands</w:t>
      </w:r>
      <w:r>
        <w:t xml:space="preserve"> </w:t>
      </w:r>
      <w:r>
        <w:t xml:space="preserve">Amsterdam</w:t>
      </w:r>
    </w:p>
    <w:bookmarkStart w:id="33" w:name="Xf8e12e2430348c2b5688e8fe4dd00147fe86306"/>
    <w:p>
      <w:pPr>
        <w:pStyle w:val="Heading1"/>
      </w:pPr>
      <w:r>
        <w:t xml:space="preserve">Case Study: The Integration of AI-Driven Genomic Analysis in Precision Oncology within Netherlands Amsterdam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II Clinical Trial Evaluation</w:t>
      </w:r>
      <w:r>
        <w:br/>
      </w:r>
      <w:r>
        <w:rPr>
          <w:bCs/>
          <w:b/>
        </w:rPr>
        <w:t xml:space="preserve">Location Focus:</w:t>
      </w:r>
      <w:r>
        <w:t xml:space="preserve"> Netherlands Amsterdam</w:t>
      </w:r>
    </w:p>
    <w:bookmarkStart w:id="20" w:name="executive-summary"/>
    <w:p>
      <w:pPr>
        <w:pStyle w:val="Heading2"/>
      </w:pPr>
      <w:r>
        <w:t xml:space="preserve">1. Executive Summary</w:t>
      </w:r>
    </w:p>
    <w:p>
      <w:pPr>
        <w:pStyle w:val="FirstParagraph"/>
      </w:pPr>
      <w:r>
        <w:t xml:space="preserve">This case study examines the transformative impact of integrating advanced Artificial Intelligence (AI) and Machine Learning (ML) algorithms into the daily workflows of a dedicated team of Medical Researcher professionals operating within the bustling biomedical hub of Netherlands Amsterdam. The primary objective was to accelerate the identification of biomarkers for early-stage non-small cell lung cancer (NSCLC). By leveraging the unique academic infrastructure, funding mechanisms, and collaborative ecosystems available in Amsterdam, this initiative sought to reduce diagnostic timelines by 40% while increasing prediction accuracy. The results demonstrate how a Medical Researcher can effectively navigate complex ethical landscapes and technical challenges to deliver tangible health outcomes.</w:t>
      </w:r>
    </w:p>
    <w:bookmarkEnd w:id="20"/>
    <w:bookmarkStart w:id="21" w:name="background-and-context"/>
    <w:p>
      <w:pPr>
        <w:pStyle w:val="Heading2"/>
      </w:pPr>
      <w:r>
        <w:t xml:space="preserve">2. Background and Context</w:t>
      </w:r>
    </w:p>
    <w:p>
      <w:pPr>
        <w:pStyle w:val="FirstParagraph"/>
      </w:pPr>
      <w:r>
        <w:t xml:space="preserve">The city of Netherlands Amsterdam has long been recognized as a cornerstone of European biomedical innovation. Home to the Academic Medical Center (AMC), VU University Medical Center, and numerous biotech startups, the region offers an unparalleled density of expertise in oncology and data science. However, despite these advantages, the translation of genomic data into clinical practice remains a significant bottleneck.</w:t>
      </w:r>
    </w:p>
    <w:p>
      <w:pPr>
        <w:pStyle w:val="BodyText"/>
      </w:pPr>
      <w:r>
        <w:t xml:space="preserve">The specific problem addressed in this study was the "data deluge" faced by Medical Researcher teams. While Next-Generation Sequencing (NGS) generates petabytes of genetic information annually, traditional analytical methods are insufficient to process this volume in real-time. In Netherlands Amsterdam, where patient privacy laws and ethical standards are exceptionally rigorous, finding a balance between rapid data processing and strict compliance with General Data Protection Regulation (GDPR) protocols was critical.</w:t>
      </w:r>
    </w:p>
    <w:bookmarkEnd w:id="21"/>
    <w:bookmarkStart w:id="22" w:name="the-challenge"/>
    <w:p>
      <w:pPr>
        <w:pStyle w:val="Heading2"/>
      </w:pPr>
      <w:r>
        <w:t xml:space="preserve">3. The Challenge</w:t>
      </w:r>
    </w:p>
    <w:p>
      <w:pPr>
        <w:pStyle w:val="FirstParagraph"/>
      </w:pPr>
      <w:r>
        <w:t xml:space="preserve">The project team, led by senior Medical Researcher Dr. Elena Vos, faced three distinct challenges:</w:t>
      </w:r>
    </w:p>
    <w:p>
      <w:pPr>
        <w:numPr>
          <w:ilvl w:val="0"/>
          <w:numId w:val="1001"/>
        </w:numPr>
        <w:pStyle w:val="Compact"/>
      </w:pPr>
      <w:r>
        <w:rPr>
          <w:bCs/>
          <w:b/>
        </w:rPr>
        <w:t xml:space="preserve">Data Heterogeneity:</w:t>
      </w:r>
      <w:r>
        <w:t xml:space="preserve"> </w:t>
      </w:r>
      <w:r>
        <w:t xml:space="preserve">Genomic data from different hospitals across Netherlands Amsterdam came in disparate formats, making integration difficult.</w:t>
      </w:r>
    </w:p>
    <w:p>
      <w:pPr>
        <w:numPr>
          <w:ilvl w:val="0"/>
          <w:numId w:val="1001"/>
        </w:numPr>
        <w:pStyle w:val="Compact"/>
      </w:pPr>
      <w:r>
        <w:rPr>
          <w:bCs/>
          <w:b/>
        </w:rPr>
        <w:t xml:space="preserve">Ethical Compliance:</w:t>
      </w:r>
      <w:r>
        <w:t xml:space="preserve"> </w:t>
      </w:r>
      <w:r>
        <w:t xml:space="preserve">Ensuring that patient consent forms covered AI-driven analysis required extensive legal review and interdisciplinary collaboration.</w:t>
      </w:r>
    </w:p>
    <w:p>
      <w:pPr>
        <w:numPr>
          <w:ilvl w:val="0"/>
          <w:numId w:val="1001"/>
        </w:numPr>
        <w:pStyle w:val="Compact"/>
      </w:pPr>
      <w:r>
        <w:rPr>
          <w:bCs/>
          <w:b/>
        </w:rPr>
        <w:t xml:space="preserve">Talent Acquisition:</w:t>
      </w:r>
      <w:r>
        <w:t xml:space="preserve"> </w:t>
      </w:r>
      <w:r>
        <w:t xml:space="preserve">There was a fierce competition for skilled bioinformaticians in Netherlands Amsterdam, leading to potential bottlenecks in the research pipeline.</w:t>
      </w:r>
    </w:p>
    <w:p>
      <w:pPr>
        <w:pStyle w:val="FirstParagraph"/>
      </w:pPr>
      <w:r>
        <w:t xml:space="preserve">The core mission for the Medical Researcher was not merely to analyze data, but to create a sustainable framework that allowed clinical researchers to focus on biological interpretation rather than computational preprocessing.</w:t>
      </w:r>
    </w:p>
    <w:bookmarkEnd w:id="22"/>
    <w:bookmarkStart w:id="26" w:name="methodology-and-implementation"/>
    <w:p>
      <w:pPr>
        <w:pStyle w:val="Heading2"/>
      </w:pPr>
      <w:r>
        <w:t xml:space="preserve">4. Methodology and Implementation</w:t>
      </w:r>
    </w:p>
    <w:bookmarkStart w:id="23" w:name="X15c357a329784d2db8651d966fc32864a624164"/>
    <w:p>
      <w:pPr>
        <w:pStyle w:val="Heading3"/>
      </w:pPr>
      <w:r>
        <w:t xml:space="preserve">A. Formation of an Interdisciplinary Team</w:t>
      </w:r>
    </w:p>
    <w:p>
      <w:pPr>
        <w:pStyle w:val="FirstParagraph"/>
      </w:pPr>
      <w:r>
        <w:t xml:space="preserve">The study adopted a hub-and-spoke model centered in Netherlands Amsterdam. The core team consisted of Medical Researcher specialists in molecular biology, working alongside computer scientists from the University of Amsterdam. This collaboration ensured that the biological questions drove the algorithmic design, rather than vice versa.</w:t>
      </w:r>
    </w:p>
    <w:bookmarkEnd w:id="23"/>
    <w:bookmarkStart w:id="24" w:name="Xd6ea4f65850d8b520388c78c790ebed27d88116"/>
    <w:p>
      <w:pPr>
        <w:pStyle w:val="Heading3"/>
      </w:pPr>
      <w:r>
        <w:t xml:space="preserve">B. Development of the "Amsterdam Bio-Intelligence" Platform</w:t>
      </w:r>
    </w:p>
    <w:p>
      <w:pPr>
        <w:pStyle w:val="FirstParagraph"/>
      </w:pPr>
      <w:r>
        <w:t xml:space="preserve">The team developed a proprietary AI platform tailored to handle multi-omics data (genomics, proteomics, and metabolomics). The platform utilized federated learning techniques. This approach allowed the Medical Researcher to train models on data stored locally at different hospitals in Netherlands Amsterdam without ever moving patient records to a central server. This method inherently respected privacy concerns while enabling large-scale analysis.</w:t>
      </w:r>
    </w:p>
    <w:bookmarkEnd w:id="24"/>
    <w:bookmarkStart w:id="25" w:name="X05713ab575ac6345983d7f2500814436474d789"/>
    <w:p>
      <w:pPr>
        <w:pStyle w:val="Heading3"/>
      </w:pPr>
      <w:r>
        <w:t xml:space="preserve">C. Ethical Oversight and Public Engagement</w:t>
      </w:r>
    </w:p>
    <w:p>
      <w:pPr>
        <w:pStyle w:val="FirstParagraph"/>
      </w:pPr>
      <w:r>
        <w:t xml:space="preserve">A unique aspect of this case study was the involvement of patient advocacy groups early in the process. In line with Dutch cultural values of openness and consensus, the Medical Researcher team held town halls in Netherlands Amsterdam to explain AI ethics in healthcare. This transparency helped secure public trust, which is often a prerequisite for successful clinical trials in Europe.</w:t>
      </w:r>
    </w:p>
    <w:bookmarkEnd w:id="25"/>
    <w:bookmarkEnd w:id="26"/>
    <w:bookmarkStart w:id="28" w:name="results-and-impact"/>
    <w:p>
      <w:pPr>
        <w:pStyle w:val="Heading2"/>
      </w:pPr>
      <w:r>
        <w:t xml:space="preserve">5. Results and Impact</w:t>
      </w:r>
    </w:p>
    <w:p>
      <w:pPr>
        <w:pStyle w:val="FirstParagraph"/>
      </w:pPr>
      <w:r>
        <w:t xml:space="preserve">After 18 months of intensive work, the project yielded significant quantitative and qualitative results:</w:t>
      </w:r>
    </w:p>
    <w:bookmarkStart w:id="27" w:name="kpi-achievements"/>
    <w:p>
      <w:pPr>
        <w:pStyle w:val="Heading3"/>
      </w:pPr>
      <w:r>
        <w:rPr>
          <w:bCs/>
          <w:b/>
        </w:rPr>
        <w:t xml:space="preserve">KPI Achievements:</w:t>
      </w:r>
    </w:p>
    <w:p>
      <w:pPr>
        <w:numPr>
          <w:ilvl w:val="0"/>
          <w:numId w:val="1002"/>
        </w:numPr>
        <w:pStyle w:val="Compact"/>
      </w:pPr>
      <w:r>
        <w:rPr>
          <w:bCs/>
          <w:b/>
        </w:rPr>
        <w:t xml:space="preserve">Speed to Insight:</w:t>
      </w:r>
      <w:r>
        <w:t xml:space="preserve"> </w:t>
      </w:r>
      <w:r>
        <w:t xml:space="preserve">The time required for a Medical Researcher to identify potential drug targets decreased by 45%.</w:t>
      </w:r>
    </w:p>
    <w:p>
      <w:pPr>
        <w:numPr>
          <w:ilvl w:val="0"/>
          <w:numId w:val="1002"/>
        </w:numPr>
        <w:pStyle w:val="Compact"/>
      </w:pPr>
      <w:r>
        <w:rPr>
          <w:bCs/>
          <w:b/>
        </w:rPr>
        <w:t xml:space="preserve">Predictive Accuracy:</w:t>
      </w:r>
      <w:r>
        <w:t xml:space="preserve"> </w:t>
      </w:r>
      <w:r>
        <w:t xml:space="preserve">The AI model achieved an AUC (Area Under Curve) of 0.92 in predicting patient response to immunotherapy, surpassing human-only analysis by 12%.</w:t>
      </w:r>
    </w:p>
    <w:p>
      <w:pPr>
        <w:numPr>
          <w:ilvl w:val="0"/>
          <w:numId w:val="1002"/>
        </w:numPr>
        <w:pStyle w:val="Compact"/>
      </w:pPr>
      <w:r>
        <w:rPr>
          <w:bCs/>
          <w:b/>
        </w:rPr>
        <w:t xml:space="preserve">Clinical Adoption:</w:t>
      </w:r>
      <w:r>
        <w:t xml:space="preserve"> </w:t>
      </w:r>
      <w:r>
        <w:t xml:space="preserve">Three major hospitals in Netherlands Amsterdam integrated the platform into their routine diagnostic workflows.</w:t>
      </w:r>
    </w:p>
    <w:bookmarkEnd w:id="27"/>
    <w:p>
      <w:pPr>
        <w:pStyle w:val="FirstParagraph"/>
      </w:pPr>
      <w:r>
        <w:t xml:space="preserve">The Medical Researcher team reported that the automation of routine data cleaning tasks allowed them to spend 60% more time on hypothesis generation and experimental design. This shift in workflow was described as "liberating" by the junior researchers, who previously spent excessive hours on manual data validation.</w:t>
      </w:r>
    </w:p>
    <w:bookmarkEnd w:id="28"/>
    <w:bookmarkStart w:id="29" w:name="X38432ec8d86fd81c60fe0ba59b10507ae0068bd"/>
    <w:p>
      <w:pPr>
        <w:pStyle w:val="Heading2"/>
      </w:pPr>
      <w:r>
        <w:t xml:space="preserve">6. Discussion: The Role of Medical Researcher in a Tech-Driven Era</w:t>
      </w:r>
    </w:p>
    <w:p>
      <w:pPr>
        <w:pStyle w:val="FirstParagraph"/>
      </w:pPr>
      <w:r>
        <w:t xml:space="preserve">This case study highlights a paradigm shift for the role of the Medical Researcher. In Netherlands Amsterdam, it is no longer sufficient to be an expert solely in bench science or clinical trials. Today’s Medical Researcher must be fluent in data literacy and ethical AI governance.</w:t>
      </w:r>
    </w:p>
    <w:p>
      <w:pPr>
        <w:pStyle w:val="BodyText"/>
      </w:pPr>
      <w:r>
        <w:t xml:space="preserve">The success in Netherlands Amsterdam serves as a model for other regions because it demonstrates that technology does not replace the Medical Researcher; rather, it augments their capabilities. The human element—the ability to contextualize findings within the patient's broader medical history, social determinants of health, and ethical considerations—remains indispensable. The AI provides the signal; the Medical Researcher provides meaning.</w:t>
      </w:r>
    </w:p>
    <w:bookmarkEnd w:id="29"/>
    <w:bookmarkStart w:id="30" w:name="challenges-and-lessons-learned"/>
    <w:p>
      <w:pPr>
        <w:pStyle w:val="Heading2"/>
      </w:pPr>
      <w:r>
        <w:t xml:space="preserve">7. Challenges and Lessons Learned</w:t>
      </w:r>
    </w:p>
    <w:p>
      <w:pPr>
        <w:pStyle w:val="FirstParagraph"/>
      </w:pPr>
      <w:r>
        <w:rPr>
          <w:bCs/>
          <w:b/>
        </w:rPr>
        <w:t xml:space="preserve">Bridging the Language Gap:</w:t>
      </w:r>
      <w:r>
        <w:t xml:space="preserve"> </w:t>
      </w:r>
      <w:r>
        <w:t xml:space="preserve">Early in the project, friction occurred between computer scientists and Medical Researcher due to differing terminologies. Regular cross-training sessions in Netherlands Amsterdam were implemented to resolve this, fostering a shared vocabulary.</w:t>
      </w:r>
    </w:p>
    <w:p>
      <w:pPr>
        <w:pStyle w:val="BodyText"/>
      </w:pPr>
      <w:r>
        <w:rPr>
          <w:bCs/>
          <w:b/>
        </w:rPr>
        <w:t xml:space="preserve">Sustainability of Funding:</w:t>
      </w:r>
      <w:r>
        <w:t xml:space="preserve"> </w:t>
      </w:r>
      <w:r>
        <w:t xml:space="preserve">While initial grants from Dutch governmental bodies supported the setup phase, securing long-term funding required demonstrating clear economic benefits. The team had to prove that faster diagnosis led to lower overall healthcare costs in the Netherlands Amsterdam system.</w:t>
      </w:r>
    </w:p>
    <w:bookmarkEnd w:id="30"/>
    <w:bookmarkStart w:id="31" w:name="conclusion"/>
    <w:p>
      <w:pPr>
        <w:pStyle w:val="Heading2"/>
      </w:pPr>
      <w:r>
        <w:t xml:space="preserve">8. Conclusion</w:t>
      </w:r>
    </w:p>
    <w:p>
      <w:pPr>
        <w:pStyle w:val="FirstParagraph"/>
      </w:pPr>
      <w:r>
        <w:t xml:space="preserve">The integration of AI-driven tools into medical research represents a critical evolution in modern healthcare. This case study confirms that when Medical Researcher expertise is combined with advanced computational power within supportive ecosystems like those found in Netherlands Amsterdam, the potential for accelerating cures is immense.</w:t>
      </w:r>
    </w:p>
    <w:p>
      <w:pPr>
        <w:pStyle w:val="BodyText"/>
      </w:pPr>
      <w:r>
        <w:t xml:space="preserve">The experience in Netherlands Amsterdam underscores that technological adoption must be human-centric and ethically grounded. As we look toward the future, the collaboration between data scientists and Medical Researcher will define the next frontier of precision medicine. The model established here provides a replicable blueprint for other medical centers globally seeking to harness the power of big data without compromising patient care or ethical standards.</w:t>
      </w:r>
    </w:p>
    <w:bookmarkEnd w:id="31"/>
    <w:bookmarkStart w:id="32" w:name="recommendations"/>
    <w:p>
      <w:pPr>
        <w:pStyle w:val="Heading2"/>
      </w:pPr>
      <w:r>
        <w:t xml:space="preserve">9. Recommendations</w:t>
      </w:r>
    </w:p>
    <w:p>
      <w:pPr>
        <w:numPr>
          <w:ilvl w:val="0"/>
          <w:numId w:val="1003"/>
        </w:numPr>
        <w:pStyle w:val="Compact"/>
      </w:pPr>
      <w:r>
        <w:rPr>
          <w:bCs/>
          <w:b/>
        </w:rPr>
        <w:t xml:space="preserve">Interdisciplinary Education:</w:t>
      </w:r>
      <w:r>
        <w:t xml:space="preserve"> </w:t>
      </w:r>
      <w:r>
        <w:t xml:space="preserve">Medical schools should integrate bioinformatics and AI ethics into core curricula to prepare future Medical Researcher for tech-integrated environments.</w:t>
      </w:r>
    </w:p>
    <w:p>
      <w:pPr>
        <w:numPr>
          <w:ilvl w:val="0"/>
          <w:numId w:val="1003"/>
        </w:numPr>
        <w:pStyle w:val="Compact"/>
      </w:pPr>
      <w:r>
        <w:rPr>
          <w:bCs/>
          <w:b/>
        </w:rPr>
        <w:t xml:space="preserve">Cross-Institutional Collaboration:</w:t>
      </w:r>
      <w:r>
        <w:t xml:space="preserve"> </w:t>
      </w:r>
      <w:r>
        <w:t xml:space="preserve">Encourage more partnerships between academic hospitals in Netherlands Amsterdam and private tech firms to accelerate innovation.</w:t>
      </w:r>
    </w:p>
    <w:p>
      <w:pPr>
        <w:numPr>
          <w:ilvl w:val="0"/>
          <w:numId w:val="1003"/>
        </w:numPr>
        <w:pStyle w:val="Compact"/>
      </w:pPr>
      <w:r>
        <w:rPr>
          <w:bCs/>
          <w:b/>
        </w:rPr>
        <w:t xml:space="preserve">Rigorous Ethical Frameworks:</w:t>
      </w:r>
      <w:r>
        <w:t xml:space="preserve"> </w:t>
      </w:r>
      <w:r>
        <w:t xml:space="preserve">Maintain strict adherence to GDPR and ethical oversight committees, as public trust is the foundation of medical research success.</w:t>
      </w:r>
    </w:p>
    <w:p>
      <w:pPr>
        <w:pStyle w:val="FirstParagraph"/>
      </w:pPr>
      <w:r>
        <w:rPr>
          <w:iCs/>
          <w:i/>
        </w:rPr>
        <w:t xml:space="preserve">This document serves as a comprehensive reference for stakeholders interested in the evolution of medical science within European urban centers, specifically highlighting the dynamic environment of Netherlands Amsterdam and the pivotal role of the Medical Researcher.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Precision Oncology in Netherlands Amsterdam</dc:title>
  <dc:creator/>
  <dc:language>en</dc:language>
  <cp:keywords/>
  <dcterms:created xsi:type="dcterms:W3CDTF">2026-07-29T14:47:31Z</dcterms:created>
  <dcterms:modified xsi:type="dcterms:W3CDTF">2026-07-29T14:47:31Z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