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fde123ca44b291ed193034c8b9d3d0019e806ef"/>
    <w:p>
      <w:pPr>
        <w:pStyle w:val="Heading1"/>
      </w:pPr>
      <w:r>
        <w:t xml:space="preserve">Clinical Case Study: Advancing Precision Medicine in Switzerland Zurich</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 Internal Review</w:t>
      </w:r>
      <w:r>
        <w:br/>
      </w:r>
      <w:r>
        <w:rPr>
          <w:bCs/>
          <w:b/>
        </w:rPr>
        <w:t xml:space="preserve">Subject:</w:t>
      </w:r>
      <w:r>
        <w:t xml:space="preserve">The Integration of AI-Driven Genomic Sequencing in Oncology Research at the University Hospital Zurich</w:t>
      </w:r>
    </w:p>
    <w:bookmarkStart w:id="20" w:name="executive-summary"/>
    <w:p>
      <w:pPr>
        <w:pStyle w:val="Heading2"/>
      </w:pPr>
      <w:r>
        <w:t xml:space="preserve">1. Executive Summary</w:t>
      </w:r>
    </w:p>
    <w:p>
      <w:pPr>
        <w:pStyle w:val="FirstParagraph"/>
      </w:pPr>
      <w:r>
        <w:t xml:space="preserve">This case study examines the pivotal role of a senior Medical Researcher operating within the highly regulated and scientifically rigorous environment of Switzerland, specifically Zurich. The narrative focuses on Dr. Elena Vogel, a lead investigator at the University Hospital Zurich (USZ), who spearheaded a groundbreaking initiative to integrate artificial intelligence (AI) with multi-omic data analysis for early-stage cancer detection. This document highlights how the unique ecosystem of Switzerland Zurich—characterized by its stability, world-class infrastructure, and stringent ethical frameworks—provided the ideal backdrop for this high-stakes medical research.</w:t>
      </w:r>
    </w:p>
    <w:bookmarkEnd w:id="20"/>
    <w:bookmarkStart w:id="23" w:name="background-and-context"/>
    <w:p>
      <w:pPr>
        <w:pStyle w:val="Heading2"/>
      </w:pPr>
      <w:r>
        <w:t xml:space="preserve">2. Background and Context</w:t>
      </w:r>
    </w:p>
    <w:bookmarkStart w:id="21" w:name="the-swiss-medical-research-landscape"/>
    <w:p>
      <w:pPr>
        <w:pStyle w:val="Heading3"/>
      </w:pPr>
      <w:r>
        <w:t xml:space="preserve">The Swiss Medical Research Landscape</w:t>
      </w:r>
    </w:p>
    <w:p>
      <w:pPr>
        <w:pStyle w:val="FirstParagraph"/>
      </w:pPr>
      <w:r>
        <w:t xml:space="preserve">Zurich has long established itself as a global hub for pharmaceutical innovation and biomedical engineering. Home to major institutions like the University of Zurich, ETH Zurich, and numerous biotech startups in the "Biotech Valley" along the Limmat River, the region offers an unparalleled synergy between academic rigor and industrial application. For any Medical Researcher seeking to translate bench-side discoveries into clinical applications, Switzerland presents a unique advantage: robust funding mechanisms through systems like the Swiss National Science Foundation (SNSF) and strict adherence to international ethical standards.</w:t>
      </w:r>
    </w:p>
    <w:bookmarkEnd w:id="21"/>
    <w:bookmarkStart w:id="22" w:name="the-challenge"/>
    <w:p>
      <w:pPr>
        <w:pStyle w:val="Heading3"/>
      </w:pPr>
      <w:r>
        <w:t xml:space="preserve">The Challenge</w:t>
      </w:r>
    </w:p>
    <w:p>
      <w:pPr>
        <w:pStyle w:val="FirstParagraph"/>
      </w:pPr>
      <w:r>
        <w:t xml:space="preserve">Despite these advantages, the traditional model of oncology research faced significant bottlenecks. Data silos between pathology departments, radiology imaging centers, and genetic sequencing labs hindered comprehensive patient profiling. Furthermore, the heterogeneity of tumor biology meant that a "one-size-fits-all" approach to treatment was increasingly obsolete. The Medical Researcher’s task was not merely to collect data but to create a unified framework that could interpret complex biological interactions in real-time.</w:t>
      </w:r>
    </w:p>
    <w:bookmarkEnd w:id="22"/>
    <w:bookmarkEnd w:id="23"/>
    <w:bookmarkStart w:id="27" w:name="the-medical-researchers-approach"/>
    <w:p>
      <w:pPr>
        <w:pStyle w:val="Heading2"/>
      </w:pPr>
      <w:r>
        <w:t xml:space="preserve">3. The Medical Researcher’s Approach</w:t>
      </w:r>
    </w:p>
    <w:p>
      <w:pPr>
        <w:pStyle w:val="FirstParagraph"/>
      </w:pPr>
      <w:r>
        <w:t xml:space="preserve">Dr. Vogel, as the primary Medical Researcher, adopted a multidisciplinary approach that leveraged Zurich’s technological strengths while navigating the complex legal landscape of Swiss data privacy laws.</w:t>
      </w:r>
    </w:p>
    <w:bookmarkStart w:id="24" w:name="a.-ethical-compliance-and-data-privacy"/>
    <w:p>
      <w:pPr>
        <w:pStyle w:val="Heading3"/>
      </w:pPr>
      <w:r>
        <w:t xml:space="preserve">A. Ethical Compliance and Data Privacy</w:t>
      </w:r>
    </w:p>
    <w:p>
      <w:pPr>
        <w:pStyle w:val="FirstParagraph"/>
      </w:pPr>
      <w:r>
        <w:t xml:space="preserve">In Switzerland Zurich, patient consent is not a mere formality but a foundational ethical pillar. The Medical Researcher had to navigate the Federal Act on Data Protection (FADP) alongside the Swiss Human Research Act (HRA). Dr. Vogel implemented a "dynamic consent" model, allowing patients to granularly control how their genomic and clinical data was used for specific research purposes. This transparency built trust with the Zurich community and ensured that all data collection methods met the highest ethical benchmarks.</w:t>
      </w:r>
    </w:p>
    <w:bookmarkEnd w:id="24"/>
    <w:bookmarkStart w:id="25" w:name="b.-technological-integration"/>
    <w:p>
      <w:pPr>
        <w:pStyle w:val="Heading3"/>
      </w:pPr>
      <w:r>
        <w:t xml:space="preserve">B. Technological Integration</w:t>
      </w:r>
    </w:p>
    <w:p>
      <w:pPr>
        <w:pStyle w:val="FirstParagraph"/>
      </w:pPr>
      <w:r>
        <w:t xml:space="preserve">Leveraging Zurich’s status as a fintech and deep-tech capital, the research team collaborated with computer scientists from ETH Zurich to develop a proprietary machine learning algorithm. This tool was designed to correlate radiological images (CT/MRI) with genomic mutations and proteomic profiles. The goal was to identify biomarkers that were previously invisible when analyzing single data types in isolation.</w:t>
      </w:r>
    </w:p>
    <w:bookmarkEnd w:id="25"/>
    <w:bookmarkStart w:id="26" w:name="c.-collaborative-ecosystem"/>
    <w:p>
      <w:pPr>
        <w:pStyle w:val="Heading3"/>
      </w:pPr>
      <w:r>
        <w:t xml:space="preserve">C. Collaborative Ecosystem</w:t>
      </w:r>
    </w:p>
    <w:p>
      <w:pPr>
        <w:pStyle w:val="FirstParagraph"/>
      </w:pPr>
      <w:r>
        <w:t xml:space="preserve">The Medical Researcher did not work in isolation. Dr. Vogel facilitated cross-disciplinary workshops involving oncologists, pathologists, bioinformaticians, and ethicists. This collaborative spirit is a hallmark of the Swiss research culture in Zurich, where hierarchies are flatter compared to other European nations, fostering open dialogue and rapid problem-solving.</w:t>
      </w:r>
    </w:p>
    <w:bookmarkEnd w:id="26"/>
    <w:bookmarkEnd w:id="27"/>
    <w:bookmarkStart w:id="28" w:name="methodology"/>
    <w:p>
      <w:pPr>
        <w:pStyle w:val="Heading2"/>
      </w:pPr>
      <w:r>
        <w:t xml:space="preserve">4. Methodology</w:t>
      </w:r>
    </w:p>
    <w:p>
      <w:pPr>
        <w:pStyle w:val="FirstParagraph"/>
      </w:pPr>
      <w:r>
        <w:t xml:space="preserve">The study involved a longitudinal observation of 500 patients with early-stage non-small cell lung cancer (NSCLC). The methodology was divided into three phases:</w:t>
      </w:r>
    </w:p>
    <w:p>
      <w:pPr>
        <w:numPr>
          <w:ilvl w:val="0"/>
          <w:numId w:val="1001"/>
        </w:numPr>
        <w:pStyle w:val="Compact"/>
      </w:pPr>
      <w:r>
        <w:rPr>
          <w:bCs/>
          <w:b/>
        </w:rPr>
        <w:t xml:space="preserve">Data Acquisition:</w:t>
      </w:r>
      <w:r>
        <w:t xml:space="preserve"> </w:t>
      </w:r>
      <w:r>
        <w:t xml:space="preserve">Standardized protocols were established across multiple centers in Switzerland Zurich to ensure data uniformity. Blood samples, tissue biopsies, and imaging data were anonymized and stored on secure servers compliant with Swiss cybersecurity standards.</w:t>
      </w:r>
    </w:p>
    <w:p>
      <w:pPr>
        <w:numPr>
          <w:ilvl w:val="0"/>
          <w:numId w:val="1001"/>
        </w:numPr>
        <w:pStyle w:val="Compact"/>
      </w:pPr>
      <w:r>
        <w:rPr>
          <w:bCs/>
          <w:b/>
        </w:rPr>
        <w:t xml:space="preserve">Algorithm Training:</w:t>
      </w:r>
      <w:r>
        <w:t xml:space="preserve"> </w:t>
      </w:r>
      <w:r>
        <w:t xml:space="preserve">The AI model was trained on historical data from the last decade of patient records at USZ. The Medical Researcher oversaw the validation process, ensuring that the algorithm did not inherit biases present in historical datasets.</w:t>
      </w:r>
    </w:p>
    <w:p>
      <w:pPr>
        <w:numPr>
          <w:ilvl w:val="0"/>
          <w:numId w:val="1001"/>
        </w:numPr>
        <w:pStyle w:val="Compact"/>
      </w:pPr>
      <w:r>
        <w:rPr>
          <w:bCs/>
          <w:b/>
        </w:rPr>
        <w:t xml:space="preserve">Clinical Validation:</w:t>
      </w:r>
      <w:r>
        <w:t xml:space="preserve"> </w:t>
      </w:r>
      <w:r>
        <w:t xml:space="preserve">The model’s predictive capabilities were tested against actual treatment outcomes. This phase required rigorous monitoring to ensure that clinical decisions made by physicians using the AI assistance remained human-centric and ethically sound.</w:t>
      </w:r>
    </w:p>
    <w:bookmarkEnd w:id="28"/>
    <w:bookmarkStart w:id="29" w:name="results-and-outcomes"/>
    <w:p>
      <w:pPr>
        <w:pStyle w:val="Heading2"/>
      </w:pPr>
      <w:r>
        <w:t xml:space="preserve">5. Results and Outcomes</w:t>
      </w:r>
    </w:p>
    <w:p>
      <w:pPr>
        <w:pStyle w:val="FirstParagraph"/>
      </w:pPr>
      <w:r>
        <w:t xml:space="preserve">The results of the study demonstrated a significant improvement in diagnostic accuracy. The AI-assisted model identified potential malignancies an average of six months earlier than traditional diagnostic methods. Furthermore, by correlating genomic data with imaging, the Medical Researcher’s team successfully predicted which patients were likely to respond to immunotherapy versus chemotherapy with 85% accuracy.</w:t>
      </w:r>
    </w:p>
    <w:p>
      <w:pPr>
        <w:pStyle w:val="BodyText"/>
      </w:pPr>
      <w:r>
        <w:t xml:space="preserve">From a logistical standpoint, the project in Switzerland Zurich proved that high-cost precision medicine could be streamlined through shared resources and public-private partnerships. The cost-per-patient analysis showed a 20% reduction in diagnostic expenses due to fewer redundant tests and more targeted treatment plans.</w:t>
      </w:r>
    </w:p>
    <w:bookmarkEnd w:id="29"/>
    <w:bookmarkStart w:id="32" w:name="challenges-and-lessons-learned"/>
    <w:p>
      <w:pPr>
        <w:pStyle w:val="Heading2"/>
      </w:pPr>
      <w:r>
        <w:t xml:space="preserve">6. Challenges and Lessons Learned</w:t>
      </w:r>
    </w:p>
    <w:bookmarkStart w:id="30" w:name="a.-regulatory-hurdles"/>
    <w:p>
      <w:pPr>
        <w:pStyle w:val="Heading3"/>
      </w:pPr>
      <w:r>
        <w:t xml:space="preserve">A. Regulatory Hurdles</w:t>
      </w:r>
    </w:p>
    <w:p>
      <w:pPr>
        <w:pStyle w:val="FirstParagraph"/>
      </w:pPr>
      <w:r>
        <w:t xml:space="preserve">One of the primary challenges faced by the Medical Researcher was the bureaucratic speed of ethics committees in Zurich. While necessary for patient safety, the review process was slow. The research team learned to engage with regulatory bodies early in the design phase, incorporating feedback proactively rather than reactively.</w:t>
      </w:r>
    </w:p>
    <w:bookmarkEnd w:id="30"/>
    <w:bookmarkStart w:id="31" w:name="b.-interoperability-issues"/>
    <w:p>
      <w:pPr>
        <w:pStyle w:val="Heading3"/>
      </w:pPr>
      <w:r>
        <w:t xml:space="preserve">B. Interoperability Issues</w:t>
      </w:r>
    </w:p>
    <w:p>
      <w:pPr>
        <w:pStyle w:val="FirstParagraph"/>
      </w:pPr>
      <w:r>
        <w:t xml:space="preserve">Integrating data from different hospital information systems within Switzerland Zurich proved technically demanding. Legacy systems often lacked the API compatibility required for real-time data exchange. The team had to invest significantly in middleware solutions, highlighting the need for standardized digital infrastructure in medical research.</w:t>
      </w:r>
    </w:p>
    <w:bookmarkEnd w:id="31"/>
    <w:bookmarkEnd w:id="32"/>
    <w:bookmarkStart w:id="33" w:name="conclusion"/>
    <w:p>
      <w:pPr>
        <w:pStyle w:val="Heading2"/>
      </w:pPr>
      <w:r>
        <w:t xml:space="preserve">7. Conclusion</w:t>
      </w:r>
    </w:p>
    <w:p>
      <w:pPr>
        <w:pStyle w:val="FirstParagraph"/>
      </w:pPr>
      <w:r>
        <w:t xml:space="preserve">This case study underscores the critical importance of context in medical innovation. For a Medical Researcher working in Switzerland Zurich, success is not defined solely by scientific breakthroughs but by the ability to navigate ethical complexities, leverage local technological expertise, and foster interdisciplinary collaboration. The Dr. Vogel project exemplifies how precision medicine can be advanced responsibly within a robust regulatory framework.</w:t>
      </w:r>
    </w:p>
    <w:p>
      <w:pPr>
        <w:pStyle w:val="BodyText"/>
      </w:pPr>
      <w:r>
        <w:t xml:space="preserve">The experience highlights that while Switzerland Zurich offers unparalleled resources for high-level research, it also demands a level of rigor and ethical vigilance that is unmatched elsewhere. Future Medical Researcher initiatives in this region must prioritize not only scientific excellence but also sustainable integration into the broader healthcare ecosystem. The success of this case study serves as a blueprint for other institutions aiming to balance innovation with integrity in the field of oncology.</w:t>
      </w:r>
    </w:p>
    <w:bookmarkEnd w:id="33"/>
    <w:bookmarkStart w:id="34" w:name="recommendations-for-future-practice"/>
    <w:p>
      <w:pPr>
        <w:pStyle w:val="Heading2"/>
      </w:pPr>
      <w:r>
        <w:t xml:space="preserve">8. Recommendations for Future Practice</w:t>
      </w:r>
    </w:p>
    <w:p>
      <w:pPr>
        <w:numPr>
          <w:ilvl w:val="0"/>
          <w:numId w:val="1002"/>
        </w:numPr>
        <w:pStyle w:val="Compact"/>
      </w:pPr>
      <w:r>
        <w:rPr>
          <w:bCs/>
          <w:b/>
        </w:rPr>
        <w:t xml:space="preserve">Ethical Agility:</w:t>
      </w:r>
      <w:r>
        <w:t xml:space="preserve"> </w:t>
      </w:r>
      <w:r>
        <w:t xml:space="preserve">Medical Researcher teams should establish ongoing ethics advisory boards to navigate evolving data privacy laws efficiently.</w:t>
      </w:r>
    </w:p>
    <w:p>
      <w:pPr>
        <w:numPr>
          <w:ilvl w:val="0"/>
          <w:numId w:val="1002"/>
        </w:numPr>
        <w:pStyle w:val="Compact"/>
      </w:pPr>
      <w:r>
        <w:rPr>
          <w:bCs/>
          <w:b/>
        </w:rPr>
        <w:t xml:space="preserve">Digital Infrastructure Investment:</w:t>
      </w:r>
      <w:r>
        <w:t xml:space="preserve"> </w:t>
      </w:r>
      <w:r>
        <w:t xml:space="preserve">Institutions in Switzerland Zurich must prioritize the modernization of IT systems to support real-time multi-omic data integration.</w:t>
      </w:r>
    </w:p>
    <w:p>
      <w:pPr>
        <w:numPr>
          <w:ilvl w:val="0"/>
          <w:numId w:val="1002"/>
        </w:numPr>
        <w:pStyle w:val="Compact"/>
      </w:pPr>
      <w:r>
        <w:rPr>
          <w:bCs/>
          <w:b/>
        </w:rPr>
        <w:t xml:space="preserve">Patient-Centric Design:</w:t>
      </w:r>
      <w:r>
        <w:t xml:space="preserve"> </w:t>
      </w:r>
      <w:r>
        <w:t xml:space="preserve">Future studies should continue to expand dynamic consent models, ensuring that patients remain active partners in their care and research contributions.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2026-07-29T16:59:31Z</dcterms:created>
  <dcterms:modified xsi:type="dcterms:W3CDTF">2026-07-29T16:59:31Z</dcterms:modified>
</cp:coreProperties>
</file>

<file path=docProps/custom.xml><?xml version="1.0" encoding="utf-8"?>
<Properties xmlns="http://schemas.openxmlformats.org/officeDocument/2006/custom-properties" xmlns:vt="http://schemas.openxmlformats.org/officeDocument/2006/docPropsVTypes"/>
</file>