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1" w:name="X335f41bcf24abb58aaacd658f944c9652bc8b18"/>
    <w:p>
      <w:pPr>
        <w:pStyle w:val="Heading1"/>
      </w:pPr>
      <w:r>
        <w:t xml:space="preserve">Case Study: The Medical Researcher in United Kingdom Birmingham</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Confidential  | </w:t>
      </w:r>
      <w:r>
        <w:t xml:space="preserve"> </w:t>
      </w:r>
      <w:r>
        <w:rPr>
          <w:bCs/>
          <w:b/>
        </w:rPr>
        <w:t xml:space="preserve">Categorization:</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comprehensive Case Study examining the role, challenges, and contributions of the Modern Medical Researcher within the specific geographical and institutional context of United Kingdom Birmingham. As one of Europe’s premier hubs for health sciences, Birmingham offers a unique ecosystem where academic rigor meets clinical application. This case study explores how researchers in this region navigate ethical landscapes, secure funding from bodies such as UK Research and Innovation (UKRI), and collaborate with major healthcare providers like the University Hospitals Birmingham NHS Foundation Trust.</w:t>
      </w:r>
    </w:p>
    <w:p>
      <w:pPr>
        <w:pStyle w:val="BodyText"/>
      </w:pPr>
      <w:r>
        <w:t xml:space="preserve">The primary objective of this analysis is to illustrate the daily realities of a Medical Researcher operating in this dynamic city. It highlights how the convergence of historical industrial innovation in Birmingham has transformed into modern biotechnological leadership, positioning United Kingdom Birmingham as a critical node in global medical science.</w:t>
      </w:r>
    </w:p>
    <w:bookmarkEnd w:id="20"/>
    <w:bookmarkStart w:id="22" w:name="Xdf4c4923a065b8fef86a4d2694b63b91c3cf98d"/>
    <w:p>
      <w:pPr>
        <w:pStyle w:val="Heading2"/>
      </w:pPr>
      <w:r>
        <w:t xml:space="preserve">2. Contextual Background: The Landscape of United Kingdom Birmingham</w:t>
      </w:r>
    </w:p>
    <w:p>
      <w:pPr>
        <w:pStyle w:val="FirstParagraph"/>
      </w:pPr>
      <w:r>
        <w:t xml:space="preserve">To understand the work of the Medical Researcher, one must first appreciate the environment of United Kingdom Birmingham. Historically known for its manufacturing heritage, Birmingham has undergone a significant transformation into a "Golden Triangle" for life sciences, often rivaled only by Oxford and Cambridge in terms of research output density.</w:t>
      </w:r>
    </w:p>
    <w:bookmarkStart w:id="21" w:name="the-innovation-district-advantage"/>
    <w:p>
      <w:pPr>
        <w:pStyle w:val="Heading3"/>
      </w:pPr>
      <w:r>
        <w:t xml:space="preserve">The Innovation District Advantage</w:t>
      </w:r>
    </w:p>
    <w:p>
      <w:pPr>
        <w:pStyle w:val="FirstParagraph"/>
      </w:pPr>
      <w:r>
        <w:t xml:space="preserve">The creation of the University Town scheme has physically integrated the University of Birmingham with local hospitals and tech hubs. For a Medical Researcher, this proximity is not merely logistical; it is cultural. It allows for rapid translation of laboratory discoveries into bedside applications, a process often referred to as translational medicine.</w:t>
      </w:r>
    </w:p>
    <w:bookmarkEnd w:id="21"/>
    <w:p>
      <w:pPr>
        <w:pStyle w:val="BodyText"/>
      </w:pPr>
      <w:r>
        <w:t xml:space="preserve">Birmingham hosts one of the largest research-intensive universities in the UK. The presence of multiple Level 3 Clinical Research Facilities and specialized institutes, such as the Institute for Cardiovascular and Metabolic Medicine, creates an environment where interdisciplinary collaboration is not just encouraged but expected. The Medical Researcher here operates within a dense network of geneticists, data scientists, clinicians, and ethicists.</w:t>
      </w:r>
    </w:p>
    <w:bookmarkEnd w:id="22"/>
    <w:bookmarkStart w:id="25" w:name="profile-the-modern-medical-researcher"/>
    <w:p>
      <w:pPr>
        <w:pStyle w:val="Heading2"/>
      </w:pPr>
      <w:r>
        <w:t xml:space="preserve">3. Profile: The Modern Medical Researcher</w:t>
      </w:r>
    </w:p>
    <w:p>
      <w:pPr>
        <w:pStyle w:val="FirstParagraph"/>
      </w:pPr>
      <w:r>
        <w:t xml:space="preserve">The archetype of the Medical Researcher in this case study is Dr. Elena Rossi (a fictional composite profile), a Senior Clinical Fellow specializing in oncology at a major teaching hospital in United Kingdom Birmingham. Her role exemplifies the dual responsibilities carried by many researchers in the region: maintaining clinical competence while advancing scientific knowledge.</w:t>
      </w:r>
    </w:p>
    <w:bookmarkStart w:id="23" w:name="core-responsibilities"/>
    <w:p>
      <w:pPr>
        <w:pStyle w:val="Heading3"/>
      </w:pPr>
      <w:r>
        <w:t xml:space="preserve">3.1 Core Responsibilities</w:t>
      </w:r>
    </w:p>
    <w:p>
      <w:pPr>
        <w:numPr>
          <w:ilvl w:val="0"/>
          <w:numId w:val="1001"/>
        </w:numPr>
        <w:pStyle w:val="Compact"/>
      </w:pPr>
      <w:r>
        <w:rPr>
          <w:bCs/>
          <w:b/>
        </w:rPr>
        <w:t xml:space="preserve">Hypothesis Generation:</w:t>
      </w:r>
      <w:r>
        <w:t xml:space="preserve"> </w:t>
      </w:r>
      <w:r>
        <w:t xml:space="preserve">Identifying gaps in current cancer treatments based on clinical observations at Birmingham’s hospitals.</w:t>
      </w:r>
    </w:p>
    <w:p>
      <w:pPr>
        <w:numPr>
          <w:ilvl w:val="0"/>
          <w:numId w:val="1001"/>
        </w:numPr>
        <w:pStyle w:val="Compact"/>
      </w:pPr>
      <w:r>
        <w:rPr>
          <w:bCs/>
          <w:b/>
        </w:rPr>
        <w:t xml:space="preserve">Funding Acquisition:</w:t>
      </w:r>
    </w:p>
    <w:p>
      <w:pPr>
        <w:numPr>
          <w:ilvl w:val="0"/>
          <w:numId w:val="1001"/>
        </w:numPr>
        <w:pStyle w:val="Compact"/>
      </w:pPr>
      <w:r>
        <w:rPr>
          <w:bCs/>
          <w:b/>
        </w:rPr>
        <w:t xml:space="preserve">Ethical Compliance:</w:t>
      </w:r>
      <w:r>
        <w:t xml:space="preserve"> </w:t>
      </w:r>
      <w:r>
        <w:t xml:space="preserve">Ensuring all research involving human participants adheres strictly to the guidelines set by the Health Research Authority (HRA) and local Research Ethics Committees (REC).</w:t>
      </w:r>
    </w:p>
    <w:p>
      <w:pPr>
        <w:numPr>
          <w:ilvl w:val="0"/>
          <w:numId w:val="1001"/>
        </w:numPr>
        <w:pStyle w:val="Compact"/>
      </w:pPr>
      <w:r>
        <w:rPr>
          <w:bCs/>
          <w:b/>
        </w:rPr>
        <w:t xml:space="preserve">Data Analysis:</w:t>
      </w:r>
      <w:r>
        <w:t xml:space="preserve"> </w:t>
      </w:r>
      <w:r>
        <w:t xml:space="preserve">Utilizing advanced bioinformatics tools to interpret large-scale genomic data, often in collaboration with computer scientists at the University of Birmingham.</w:t>
      </w:r>
    </w:p>
    <w:bookmarkEnd w:id="23"/>
    <w:bookmarkStart w:id="24" w:name="the-daily-routine"/>
    <w:p>
      <w:pPr>
        <w:pStyle w:val="Heading3"/>
      </w:pPr>
      <w:r>
        <w:t xml:space="preserve">3.2 The Daily Routine</w:t>
      </w:r>
    </w:p>
    <w:p>
      <w:pPr>
        <w:pStyle w:val="FirstParagraph"/>
      </w:pPr>
      <w:r>
        <w:t xml:space="preserve">A typical day for a Medical Researcher in United Kingdom Birmingham begins not in a sterile lab, but often at the hospital ward, observing patient outcomes. By mid-morning, they transition to laboratory spaces or secure servers to analyze data. Afternoons are frequently reserved for meetings with multidisciplinary teams (MDTs), including surgeons and oncologists, ensuring that research questions remain clinically relevant. The evening may involve reviewing manuscripts for international journals or mentoring junior PhD students from diverse backgrounds.</w:t>
      </w:r>
    </w:p>
    <w:bookmarkEnd w:id="24"/>
    <w:bookmarkEnd w:id="25"/>
    <w:bookmarkStart w:id="27" w:name="key-challenges-and-barriers"/>
    <w:p>
      <w:pPr>
        <w:pStyle w:val="Heading2"/>
      </w:pPr>
      <w:r>
        <w:t xml:space="preserve">4. Key Challenges and Barriers</w:t>
      </w:r>
    </w:p>
    <w:p>
      <w:pPr>
        <w:pStyle w:val="FirstParagraph"/>
      </w:pPr>
      <w:r>
        <w:t xml:space="preserve">Despite the supportive infrastructure, the Medical Researcher in United Kingdom Birmingham faces distinct challenges that are reflective of broader UK healthcare trends.</w:t>
      </w:r>
    </w:p>
    <w:bookmarkStart w:id="26" w:name="navigating-regulatory-hurdles"/>
    <w:p>
      <w:pPr>
        <w:pStyle w:val="Heading3"/>
      </w:pPr>
      <w:r>
        <w:t xml:space="preserve">Navigating Regulatory Hurdles</w:t>
      </w:r>
    </w:p>
    <w:p>
      <w:pPr>
        <w:pStyle w:val="FirstParagraph"/>
      </w:pPr>
      <w:r>
        <w:t xml:space="preserve">The post-Brexit regulatory landscape has introduced new complexities regarding the import of biological samples and cross-border collaboration. Medical Researchers must now navigate additional bureaucratic layers to ensure compliance with both UK domestic laws and international standards.</w:t>
      </w:r>
    </w:p>
    <w:bookmarkEnd w:id="26"/>
    <w:p>
      <w:pPr>
        <w:numPr>
          <w:ilvl w:val="0"/>
          <w:numId w:val="1002"/>
        </w:numPr>
        <w:pStyle w:val="Compact"/>
      </w:pPr>
      <w:r>
        <w:rPr>
          <w:bCs/>
          <w:b/>
        </w:rPr>
        <w:t xml:space="preserve">Funding Instability:</w:t>
      </w:r>
      <w:r>
        <w:t xml:space="preserve"> </w:t>
      </w:r>
      <w:r>
        <w:t xml:space="preserve">Grant cycles are long, and success rates are low. Researchers often spend 30-40% of their time writing grants rather than conducting research.</w:t>
      </w:r>
    </w:p>
    <w:p>
      <w:pPr>
        <w:numPr>
          <w:ilvl w:val="0"/>
          <w:numId w:val="1002"/>
        </w:numPr>
        <w:pStyle w:val="Compact"/>
      </w:pPr>
      <w:r>
        <w:rPr>
          <w:bCs/>
          <w:b/>
        </w:rPr>
        <w:t xml:space="preserve">Clinical Workload Pressure:</w:t>
      </w:r>
      <w:r>
        <w:t xml:space="preserve"> </w:t>
      </w:r>
      <w:r>
        <w:t xml:space="preserve">Balancing NHS clinical duties with independent research time is a constant struggle. The high demand on NHS services in Birmingham can limit the hours available for pure research activities.</w:t>
      </w:r>
    </w:p>
    <w:p>
      <w:pPr>
        <w:numPr>
          <w:ilvl w:val="0"/>
          <w:numId w:val="1002"/>
        </w:numPr>
        <w:pStyle w:val="Compact"/>
      </w:pPr>
      <w:r>
        <w:rPr>
          <w:bCs/>
          <w:b/>
        </w:rPr>
        <w:t xml:space="preserve">Diversity and Inclusion:</w:t>
      </w:r>
      <w:r>
        <w:t xml:space="preserve"> </w:t>
      </w:r>
      <w:r>
        <w:t xml:space="preserve">Ensuring that clinical trials conducted in United Kingdom Birmingham reflect the diverse population of the city is crucial yet challenging. Researchers must actively work to overcome trust barriers within minority communities to ensure representative data.</w:t>
      </w:r>
    </w:p>
    <w:bookmarkEnd w:id="27"/>
    <w:bookmarkStart w:id="28" w:name="case-analysis-a-successful-project"/>
    <w:p>
      <w:pPr>
        <w:pStyle w:val="Heading2"/>
      </w:pPr>
      <w:r>
        <w:t xml:space="preserve">5. Case Analysis: A Successful Project</w:t>
      </w:r>
    </w:p>
    <w:p>
      <w:pPr>
        <w:pStyle w:val="FirstParagraph"/>
      </w:pPr>
      <w:r>
        <w:t xml:space="preserve">To illustrate success, we examine a hypothetical project led by a Medical Researcher in Birmingham focused on "Personalized Immunotherapy for Lung Cancer." This project leverages the unique strengths of United Kingdom Birmingham.</w:t>
      </w:r>
    </w:p>
    <w:p>
      <w:pPr>
        <w:pStyle w:val="BodyText"/>
      </w:pPr>
      <w:r>
        <w:rPr>
          <w:bCs/>
          <w:b/>
        </w:rPr>
        <w:t xml:space="preserve">The Problem:</w:t>
      </w:r>
      <w:r>
        <w:t xml:space="preserve"> </w:t>
      </w:r>
      <w:r>
        <w:t xml:space="preserve">Standard chemotherapy has varying efficacy rates among different demographic groups in the West Midlands.</w:t>
      </w:r>
    </w:p>
    <w:p>
      <w:pPr>
        <w:pStyle w:val="BodyText"/>
      </w:pPr>
      <w:r>
        <w:rPr>
          <w:bCs/>
          <w:b/>
        </w:rPr>
        <w:t xml:space="preserve">The Intervention:</w:t>
      </w:r>
      <w:r>
        <w:t xml:space="preserve"> </w:t>
      </w:r>
      <w:r>
        <w:t xml:space="preserve">The Medical Researcher initiated a multi-center trial involving three major hospitals in Birmingham. They utilized machine learning algorithms to predict patient response to immunotherapy based on genetic markers and lifestyle factors unique to the local population.</w:t>
      </w:r>
    </w:p>
    <w:p>
      <w:pPr>
        <w:pStyle w:val="BodyText"/>
      </w:pPr>
      <w:r>
        <w:rPr>
          <w:bCs/>
          <w:b/>
        </w:rPr>
        <w:t xml:space="preserve">The Outcome:</w:t>
      </w:r>
      <w:r>
        <w:t xml:space="preserve"> </w:t>
      </w:r>
      <w:r>
        <w:t xml:space="preserve">The study identified a specific biomarker that improved treatment success rates by 25% in the local cohort. This finding was published in a top-tier medical journal and subsequently adopted into clinical guidelines for NHS trusts across the region. Furthermore, it attracted significant private investment to Birmingham, fostering spin-off companies created by researchers.</w:t>
      </w:r>
    </w:p>
    <w:bookmarkEnd w:id="28"/>
    <w:bookmarkStart w:id="29" w:name="impact-on-united-kingdom-birmingham"/>
    <w:p>
      <w:pPr>
        <w:pStyle w:val="Heading2"/>
      </w:pPr>
      <w:r>
        <w:t xml:space="preserve">6. Impact on United Kingdom Birmingham</w:t>
      </w:r>
    </w:p>
    <w:p>
      <w:pPr>
        <w:pStyle w:val="FirstParagraph"/>
      </w:pPr>
      <w:r>
        <w:t xml:space="preserve">The work of Medical Researchers in United Kingdom Birmingham extends beyond academic papers. Their contributions drive economic growth through the creation of high-value jobs and life science startups. The city’s "Edgbaston" campus has become a magnet for global biotech firms, seeking to collaborate with local academia.</w:t>
      </w:r>
    </w:p>
    <w:p>
      <w:pPr>
        <w:pStyle w:val="BodyText"/>
      </w:pPr>
      <w:r>
        <w:t xml:space="preserve">Moreover, the research output directly influences public health policy in the West Midlands. By addressing specific health disparities prevalent in urban centers, Medical Researchers help shape interventions that improve quality of life for millions of residents. The integration of research into NHS care pathways ensures that patients benefit from cutting-edge science rapidly.</w:t>
      </w:r>
    </w:p>
    <w:bookmarkEnd w:id="29"/>
    <w:bookmarkStart w:id="30" w:name="conclusion"/>
    <w:p>
      <w:pPr>
        <w:pStyle w:val="Heading2"/>
      </w:pPr>
      <w:r>
        <w:t xml:space="preserve">7. Conclusion</w:t>
      </w:r>
    </w:p>
    <w:p>
      <w:pPr>
        <w:pStyle w:val="FirstParagraph"/>
      </w:pPr>
      <w:r>
        <w:t xml:space="preserve">In conclusion, the Medical Researcher in United Kingdom Birmingham plays a pivotal role in the advancement of global health while addressing local healthcare needs. They operate within a robust, interconnected ecosystem that supports innovation through proximity to clinical services and academic excellence.</w:t>
      </w:r>
    </w:p>
    <w:p>
      <w:pPr>
        <w:pStyle w:val="BodyText"/>
      </w:pPr>
      <w:r>
        <w:t xml:space="preserve">However, their success depends on navigating complex funding environments, regulatory changes, and the ethical imperative to serve diverse populations. As United Kingdom Birmingham continues to solidify its status as a global leader in life sciences, the role of the Medical Researcher will only grow in importance. They are not merely observers of disease but active architects of health solutions, driving progress through rigorous science and compassionate care.</w:t>
      </w:r>
    </w:p>
    <w:p>
      <w:pPr>
        <w:pStyle w:val="BodyText"/>
      </w:pPr>
      <w:r>
        <w:t xml:space="preserve">For stakeholders considering investment or partnership in this region, understanding the dynamic nature of these researchers is essential. They represent the intellectual engine of United Kingdom Birmingham’s healthcare sector, bridging the gap between theoretical discovery and tangible patient benefit.</w:t>
      </w:r>
    </w:p>
    <w:p>
      <w:r>
        <w:pict>
          <v:rect style="width:0;height:1.5pt" o:hralign="center" o:hrstd="t" o:hr="t"/>
        </w:pict>
      </w:r>
    </w:p>
    <w:p>
      <w:pPr>
        <w:pStyle w:val="FirstParagraph"/>
      </w:pPr>
      <w:r>
        <w:rPr>
          <w:iCs/>
          <w:i/>
        </w:rPr>
        <w:t xml:space="preserve">Note: This Case Study is for educational and illustrative purposes. Profiles such as Dr. Rossi are composite representations of actual practices observed in the United Kingdom Birmingham research community.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Medical Researcher in United Kingdom Birmingham</dc:title>
  <dc:creator/>
  <dc:language>en</dc:language>
  <cp:keywords/>
  <dcterms:created xsi:type="dcterms:W3CDTF">2026-07-29T21:29:06Z</dcterms:created>
  <dcterms:modified xsi:type="dcterms:W3CDTF">2026-07-29T21:29:06Z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