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9" w:name="X44d8f01d9923f5f10e885407b0320a8bcaac893"/>
    <w:p>
      <w:pPr>
        <w:pStyle w:val="Heading1"/>
      </w:pPr>
      <w:r>
        <w:t xml:space="preserve">The Evolution of Medical Researcher Professions in United Kingdom London</w:t>
      </w:r>
    </w:p>
    <w:p>
      <w:pPr>
        <w:pStyle w:val="FirstParagraph"/>
      </w:pPr>
      <w:r>
        <w:t xml:space="preserve">This case study explores the transformative impact on the medical research sector within one of the world's leading scientific hubs, focusing on how a dedicated Medical Researcher navigates and influences progress in United Kingdom London. It serves as a comprehensive analysis for stakeholders interested in global health innovation.</w:t>
      </w:r>
    </w:p>
    <w:bookmarkStart w:id="20" w:name="background-and-context"/>
    <w:p>
      <w:pPr>
        <w:pStyle w:val="Heading2"/>
      </w:pPr>
      <w:r>
        <w:t xml:space="preserve">Background and Context</w:t>
      </w:r>
    </w:p>
    <w:p>
      <w:pPr>
        <w:pStyle w:val="FirstParagraph"/>
      </w:pPr>
      <w:r>
        <w:t xml:space="preserve">The landscape of biomedical science has undergone radical changes over the past decade. In particular, a prominent Medical Researcher based in United Kingdom London has spearheaded initiatives that bridge the gap between theoretical science and practical clinical application. This case study highlights their journey, demonstrating how strategic thinking can drive meaningful change.</w:t>
      </w:r>
    </w:p>
    <w:bookmarkEnd w:id="20"/>
    <w:bookmarkStart w:id="21" w:name="key-challenges"/>
    <w:p>
      <w:pPr>
        <w:pStyle w:val="Heading2"/>
      </w:pPr>
      <w:r>
        <w:t xml:space="preserve">Key Challenges</w:t>
      </w:r>
    </w:p>
    <w:p>
      <w:pPr>
        <w:numPr>
          <w:ilvl w:val="0"/>
          <w:numId w:val="1001"/>
        </w:numPr>
        <w:pStyle w:val="Compact"/>
      </w:pPr>
      <w:r>
        <w:rPr>
          <w:bCs/>
          <w:b/>
        </w:rPr>
        <w:t xml:space="preserve">Funding Constraints:</w:t>
      </w:r>
      <w:r>
        <w:t xml:space="preserve">A primary hurdle faced by any Medical Researcher is securing sustainable funding. In United Kingdom London, despite the presence of prestigious institutions, competition for grants is fierce.</w:t>
      </w:r>
    </w:p>
    <w:p>
      <w:pPr>
        <w:numPr>
          <w:ilvl w:val="0"/>
          <w:numId w:val="1001"/>
        </w:numPr>
        <w:pStyle w:val="Compact"/>
      </w:pPr>
      <w:r>
        <w:rPr>
          <w:bCs/>
          <w:b/>
        </w:rPr>
        <w:t xml:space="preserve">Data Privacy Concerns:</w:t>
      </w:r>
      <w:r>
        <w:t xml:space="preserve">Navigating the intricate regulations surrounding patient data protection remains a critical task for ethical medical research.</w:t>
      </w:r>
    </w:p>
    <w:p>
      <w:pPr>
        <w:numPr>
          <w:ilvl w:val="0"/>
          <w:numId w:val="1001"/>
        </w:numPr>
        <w:pStyle w:val="Compact"/>
      </w:pPr>
      <w:r>
        <w:rPr>
          <w:bCs/>
          <w:b/>
        </w:rPr>
        <w:t xml:space="preserve">Rapid Technological Change:</w:t>
      </w:r>
      <w:r>
        <w:t xml:space="preserve">The pace at which new technologies emerge requires constant adaptation and upskilling.</w:t>
      </w:r>
    </w:p>
    <w:bookmarkEnd w:id="21"/>
    <w:bookmarkStart w:id="22" w:name="strategic-interventions"/>
    <w:p>
      <w:pPr>
        <w:pStyle w:val="Heading2"/>
      </w:pPr>
      <w:r>
        <w:t xml:space="preserve">Strategic Interventions</w:t>
      </w:r>
    </w:p>
    <w:p>
      <w:pPr>
        <w:pStyle w:val="FirstParagraph"/>
      </w:pPr>
      <w:r>
        <w:t xml:space="preserve">To address these challenges, the Medical Researcher implemented several innovative strategies. They established partnerships with private tech firms to leverage advanced AI tools for data analysis. Additionally they advocated for stricter adherence to transparency in reporting results which enhanced public trust in medical science.</w:t>
      </w:r>
    </w:p>
    <w:bookmarkEnd w:id="22"/>
    <w:bookmarkStart w:id="23" w:name="implementation-process"/>
    <w:p>
      <w:pPr>
        <w:pStyle w:val="Heading2"/>
      </w:pPr>
      <w:r>
        <w:t xml:space="preserve">Implementation Process</w:t>
      </w:r>
    </w:p>
    <w:p>
      <w:pPr>
        <w:numPr>
          <w:ilvl w:val="0"/>
          <w:numId w:val="1002"/>
        </w:numPr>
        <w:pStyle w:val="Compact"/>
      </w:pPr>
      <w:r>
        <w:rPr>
          <w:bCs/>
          <w:b/>
        </w:rPr>
        <w:t xml:space="preserve">Pilot Programs:</w:t>
      </w:r>
      <w:r>
        <w:t xml:space="preserve">The initial phase involved small-scale pilot programs designed to test hypotheses under controlled conditions.</w:t>
      </w:r>
    </w:p>
    <w:p>
      <w:pPr>
        <w:numPr>
          <w:ilvl w:val="0"/>
          <w:numId w:val="1002"/>
        </w:numPr>
        <w:pStyle w:val="Compact"/>
      </w:pPr>
      <w:r>
        <w:rPr>
          <w:bCs/>
          <w:b/>
        </w:rPr>
        <w:t xml:space="preserve">Cross-Functional Teams:</w:t>
      </w:r>
      <w:r>
        <w:t xml:space="preserve">Collaboration across disciplines ensured diverse perspectives were considered during every stage of development.</w:t>
      </w:r>
    </w:p>
    <w:p>
      <w:pPr>
        <w:numPr>
          <w:ilvl w:val="0"/>
          <w:numId w:val="1002"/>
        </w:numPr>
        <w:pStyle w:val="Compact"/>
      </w:pPr>
      <w:r>
        <w:rPr>
          <w:bCs/>
          <w:b/>
        </w:rPr>
        <w:t xml:space="preserve">Continuous Feedback Loops:</w:t>
      </w:r>
    </w:p>
    <w:bookmarkEnd w:id="23"/>
    <w:bookmarkStart w:id="24" w:name="achievements"/>
    <w:p>
      <w:pPr>
        <w:pStyle w:val="Heading2"/>
      </w:pPr>
      <w:r>
        <w:t xml:space="preserve">Achievements</w:t>
      </w:r>
    </w:p>
    <w:p>
      <w:pPr>
        <w:pStyle w:val="FirstParagraph"/>
      </w:pPr>
      <w:r>
        <w:t xml:space="preserve">The efforts led by this Medical Researcher have yielded significant outcomes. Notably, the development of a novel diagnostic tool capable of early detection rates increased exponentially compared traditional methods . This breakthrough not only improved patient care but also positioned United Kingdom London as a leader in preventive healthcare solutions.</w:t>
      </w:r>
    </w:p>
    <w:bookmarkEnd w:id="24"/>
    <w:bookmarkStart w:id="25" w:name="impact-on-healthcare-delivery"/>
    <w:p>
      <w:pPr>
        <w:pStyle w:val="Heading2"/>
      </w:pPr>
      <w:r>
        <w:t xml:space="preserve">Impact on Healthcare Delivery</w:t>
      </w:r>
    </w:p>
    <w:p>
      <w:pPr>
        <w:pStyle w:val="FirstParagraph"/>
      </w:pPr>
      <w:r>
        <w:t xml:space="preserve">By integrating cutting-edge technology with compassionate caregiving principles, the Medical Researcher has fundamentally altered how treatments are administered across various hospitals throughout United Kingdom London. Their work underscores the importance of balancing innovation with empathy—a key takeaway for future practitioners in this field.</w:t>
      </w:r>
    </w:p>
    <w:bookmarkEnd w:id="25"/>
    <w:bookmarkStart w:id="26" w:name="lessons-learned"/>
    <w:p>
      <w:pPr>
        <w:pStyle w:val="Heading2"/>
      </w:pPr>
      <w:r>
        <w:t xml:space="preserve">Lessons Learned</w:t>
      </w:r>
    </w:p>
    <w:p>
      <w:pPr>
        <w:pStyle w:val="FirstParagraph"/>
      </w:pPr>
      <w:r>
        <w:t xml:space="preserve">One crucial lesson learned through this experience is that successful medical research cannot happen in isolation. It requires strong networks built upon mutual respect and shared goals among all parties involved—from funding agencies to end-users like patients themselves.</w:t>
      </w:r>
    </w:p>
    <w:bookmarkEnd w:id="26"/>
    <w:bookmarkStart w:id="27" w:name="future-outlook"/>
    <w:p>
      <w:pPr>
        <w:pStyle w:val="Heading2"/>
      </w:pPr>
      <w:r>
        <w:t xml:space="preserve">Future Outlook</w:t>
      </w:r>
    </w:p>
    <w:p>
      <w:pPr>
        <w:pStyle w:val="FirstParagraph"/>
      </w:pPr>
      <w:r>
        <w:t xml:space="preserve">Looking ahead, there remains much potential for growth within the domain of biomedical sciences. The Medical Researcher continues to advocate for policies that support long-term investment in basic science while encouraging entrepreneurial spirit among young scientists eager to make their mark on society via impactful discoveries made possible thanks largely due robust infrastructure found specifically here in United Kingdom London.</w:t>
      </w:r>
    </w:p>
    <w:bookmarkEnd w:id="27"/>
    <w:bookmarkStart w:id="28" w:name="conclusion"/>
    <w:p>
      <w:pPr>
        <w:pStyle w:val="Heading2"/>
      </w:pPr>
      <w:r>
        <w:t xml:space="preserve">Conclusion</w:t>
      </w:r>
    </w:p>
    <w:p>
      <w:pPr>
        <w:pStyle w:val="FirstParagraph"/>
      </w:pPr>
      <w:r>
        <w:t xml:space="preserve">In conclusion, this case study demonstrates how perseverance combined with strategic vision can lead to remarkable advancements even amidst challenging circumstances. As we look towards tomorrow’s challenges facing humanity such as pandemics aging populations etcetera it becomes increasingly important draw inspiration from pioneers like those working tirelessly behind scenes right now here in United Kingdom London striving every day improve lives worldwide through science driven solutions!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United Kingdom London</dc:title>
  <dc:creator/>
  <dc:language>en</dc:language>
  <cp:keywords/>
  <dcterms:created xsi:type="dcterms:W3CDTF">2026-07-29T22:35:15Z</dcterms:created>
  <dcterms:modified xsi:type="dcterms:W3CDTF">2026-07-29T22:35:15Z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