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5" w:name="Xfdfa736b1d4810b96134fe1ac1c770a67bc2dff"/>
    <w:p>
      <w:pPr>
        <w:pStyle w:val="Heading1"/>
      </w:pPr>
      <w:r>
        <w:t xml:space="preserve">Evaluating the Role, Challenges, and Impact of a Medical Researcher in United States San Francisco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Review</w:t>
      </w:r>
      <w:r>
        <w:br/>
      </w:r>
      <w:r>
        <w:rPr>
          <w:bCs/>
          <w:b/>
        </w:rPr>
        <w:t xml:space="preserve">Jurisdiction:</w:t>
      </w:r>
      <w:r>
        <w:t xml:space="preserve"> </w:t>
      </w:r>
      <w:r>
        <w:t xml:space="preserve">California / Federal Regulations (United States)</w:t>
      </w:r>
    </w:p>
    <w:bookmarkStart w:id="20" w:name="executive-summary"/>
    <w:p>
      <w:pPr>
        <w:pStyle w:val="Heading2"/>
      </w:pPr>
      <w:r>
        <w:t xml:space="preserve">1. Executive Summary</w:t>
      </w:r>
    </w:p>
    <w:p>
      <w:pPr>
        <w:pStyle w:val="FirstParagraph"/>
      </w:pPr>
      <w:r>
        <w:t xml:space="preserve">The landscape of biomedical innovation in the modern era is defined by a convergence of technology, biology, and rigorous clinical validation. This</w:t>
      </w:r>
      <w:r>
        <w:t xml:space="preserve"> </w:t>
      </w:r>
      <w:r>
        <w:rPr>
          <w:iCs/>
          <w:i/>
          <w:bCs/>
          <w:b/>
        </w:rPr>
        <w:t xml:space="preserve">Case Study</w:t>
      </w:r>
      <w:r>
        <w:t xml:space="preserve"> </w:t>
      </w:r>
      <w:r>
        <w:t xml:space="preserve">explores the multifaceted role of a professional designated as a</w:t>
      </w:r>
      <w:r>
        <w:t xml:space="preserve"> </w:t>
      </w:r>
      <w:r>
        <w:rPr>
          <w:iCs/>
          <w:i/>
          <w:bCs/>
          <w:b/>
        </w:rPr>
        <w:t xml:space="preserve">Medical Researcher</w:t>
      </w:r>
      <w:r>
        <w:t xml:space="preserve">, specifically within the unique ecosystem of</w:t>
      </w:r>
      <w:r>
        <w:t xml:space="preserve"> </w:t>
      </w:r>
      <w:r>
        <w:rPr>
          <w:iCs/>
          <w:i/>
          <w:bCs/>
          <w:b/>
        </w:rPr>
        <w:t xml:space="preserve">United States San Francisco</w:t>
      </w:r>
      <w:r>
        <w:t xml:space="preserve">. While "San Francisco" is often colloquially used to describe the broader Bay Area biotech cluster, this document focuses on the specific operational, ethical, and logistical realities faced by researchers operating within or immediately adjacent to this global health innovation hub. The objective is to analyze how geographical location influences research trajectories, regulatory compliance with United States federal standards, and collaborative opportunities.</w:t>
      </w:r>
    </w:p>
    <w:p>
      <w:pPr>
        <w:pStyle w:val="BodyText"/>
      </w:pPr>
      <w:r>
        <w:t xml:space="preserve">This document serves as a comprehensive analysis for stakeholders including hospital administration boards, funding agencies (such as the NIH), and policy makers interested in understanding the day-to-day realities of scientific inquiry in one of the world's most competitive medical environments.</w:t>
      </w:r>
    </w:p>
    <w:bookmarkEnd w:id="20"/>
    <w:bookmarkStart w:id="23" w:name="Xe7205d3e549f16310d28bcb1fb71daceb8e14e6"/>
    <w:p>
      <w:pPr>
        <w:pStyle w:val="Heading2"/>
      </w:pPr>
      <w:r>
        <w:t xml:space="preserve">2. Contextual Background: The United States San Francisco Biotech Ecosystem</w:t>
      </w:r>
    </w:p>
    <w:p>
      <w:pPr>
        <w:pStyle w:val="FirstParagraph"/>
      </w:pPr>
      <w:r>
        <w:t xml:space="preserve">To understand the position of a Medical Researcher, one must first appreciate the environment in which they operate.</w:t>
      </w:r>
      <w:r>
        <w:t xml:space="preserve"> </w:t>
      </w:r>
      <w:r>
        <w:rPr>
          <w:iCs/>
          <w:i/>
          <w:bCs/>
          <w:b/>
        </w:rPr>
        <w:t xml:space="preserve">United States San Francisco</w:t>
      </w:r>
      <w:r>
        <w:t xml:space="preserve">, and its surrounding Bay Area regions (including South San Francisco and the Mission Bay district), represents a unique convergence point for venture capital, Silicon Valley engineering talent, and world-class academic institutions such as UCSF (University of California, San Francisco).</w:t>
      </w:r>
    </w:p>
    <w:bookmarkStart w:id="21" w:name="geographic-specificity"/>
    <w:p>
      <w:pPr>
        <w:pStyle w:val="Heading3"/>
      </w:pPr>
      <w:r>
        <w:t xml:space="preserve">2.1 Geographic Specificity</w:t>
      </w:r>
    </w:p>
    <w:p>
      <w:pPr>
        <w:pStyle w:val="FirstParagraph"/>
      </w:pPr>
      <w:r>
        <w:t xml:space="preserve">The term "San Francisco" in this context extends beyond the city limits to include the dense network of innovation clusters located along the waterfront and in neighborhoods like Mission Bay. For a Medical Researcher, this proximity to technology firms allows for rapid translation of computational biology and AI-driven drug discovery models into wet-lab experiments. The density of startups here creates a dynamic where academic research is increasingly commercialized, requiring researchers to navigate both peer-reviewed publication standards and proprietary intellectual property constraints.</w:t>
      </w:r>
    </w:p>
    <w:bookmarkEnd w:id="21"/>
    <w:bookmarkStart w:id="22" w:name="regulatory-framework"/>
    <w:p>
      <w:pPr>
        <w:pStyle w:val="Heading3"/>
      </w:pPr>
      <w:r>
        <w:t xml:space="preserve">2.2 Regulatory Framework</w:t>
      </w:r>
    </w:p>
    <w:p>
      <w:pPr>
        <w:pStyle w:val="FirstParagraph"/>
      </w:pPr>
      <w:r>
        <w:t xml:space="preserve">All medical research conducted in this region must adhere to the strict guidelines of the United States federal government. This includes compliance with the Food and Drug Administration (FDA) for clinical trials, adherence to Good Clinical Practice (GCP), and rigorous oversight by Institutional Review Boards (IRBs). The intensity of scrutiny in</w:t>
      </w:r>
      <w:r>
        <w:t xml:space="preserve"> </w:t>
      </w:r>
      <w:r>
        <w:rPr>
          <w:iCs/>
          <w:i/>
          <w:bCs/>
          <w:b/>
        </w:rPr>
        <w:t xml:space="preserve">United States San Francisco</w:t>
      </w:r>
      <w:r>
        <w:t xml:space="preserve"> </w:t>
      </w:r>
      <w:r>
        <w:t xml:space="preserve">is often amplified by the high visibility of local projects, necessitating meticulous documentation and ethical vigilance.</w:t>
      </w:r>
    </w:p>
    <w:bookmarkEnd w:id="22"/>
    <w:bookmarkEnd w:id="23"/>
    <w:bookmarkStart w:id="25" w:name="X5023044c7f0a8e3b72f310b797e92d4bea1f731"/>
    <w:p>
      <w:pPr>
        <w:pStyle w:val="Heading2"/>
      </w:pPr>
      <w:r>
        <w:t xml:space="preserve">3. Role Definition: The Modern Medical Researcher</w:t>
      </w:r>
    </w:p>
    <w:p>
      <w:pPr>
        <w:pStyle w:val="FirstParagraph"/>
      </w:pPr>
      <w:r>
        <w:t xml:space="preserve">A Medical Researcher in this context is not merely a scientist working in isolation. They are interdisciplinary leaders who bridge the gap between basic science and clinical application. Their responsibilities are vast and demand a high degree of adaptability.</w:t>
      </w:r>
    </w:p>
    <w:bookmarkStart w:id="24" w:name="core-responsibilities"/>
    <w:p>
      <w:pPr>
        <w:pStyle w:val="Heading3"/>
      </w:pPr>
      <w:r>
        <w:t xml:space="preserve">3.1 Core Responsibilities</w:t>
      </w:r>
    </w:p>
    <w:p>
      <w:pPr>
        <w:numPr>
          <w:ilvl w:val="0"/>
          <w:numId w:val="1001"/>
        </w:numPr>
        <w:pStyle w:val="Compact"/>
      </w:pPr>
      <w:r>
        <w:rPr>
          <w:bCs/>
          <w:b/>
        </w:rPr>
        <w:t xml:space="preserve">Hypothesis Generation &amp; Experimental Design:</w:t>
      </w:r>
      <w:r>
        <w:t xml:space="preserve"> </w:t>
      </w:r>
      <w:r>
        <w:t xml:space="preserve">Developing novel protocols for testing new therapeutic interventions, diagnostic tools, or public health strategies.</w:t>
      </w:r>
    </w:p>
    <w:p>
      <w:pPr>
        <w:numPr>
          <w:ilvl w:val="0"/>
          <w:numId w:val="1001"/>
        </w:numPr>
        <w:pStyle w:val="Compact"/>
      </w:pPr>
      <w:r>
        <w:rPr>
          <w:bCs/>
          <w:b/>
        </w:rPr>
        <w:t xml:space="preserve">Data Analysis &amp; Interpretation:</w:t>
      </w:r>
    </w:p>
    <w:p>
      <w:pPr>
        <w:numPr>
          <w:ilvl w:val="0"/>
          <w:numId w:val="1001"/>
        </w:numPr>
        <w:pStyle w:val="Compact"/>
      </w:pPr>
      <w:r>
        <w:rPr>
          <w:bCs/>
          <w:b/>
        </w:rPr>
        <w:t xml:space="preserve">Clinical Coordination:</w:t>
      </w:r>
      <w:r>
        <w:t xml:space="preserve"> </w:t>
      </w:r>
      <w:r>
        <w:t xml:space="preserve">Collaborating with clinicians to recruit patients for trials, ensuring informed consent is properly documented and ethical standards are met.</w:t>
      </w:r>
    </w:p>
    <w:p>
      <w:pPr>
        <w:numPr>
          <w:ilvl w:val="0"/>
          <w:numId w:val="1001"/>
        </w:numPr>
        <w:pStyle w:val="Compact"/>
      </w:pPr>
      <w:r>
        <w:rPr>
          <w:bCs/>
          <w:b/>
        </w:rPr>
        <w:t xml:space="preserve">Funding &amp; Grant Writing:</w:t>
      </w:r>
      <w:r>
        <w:rPr>
          <w:iCs/>
          <w:i/>
        </w:rPr>
        <w:t xml:space="preserve">United States San Francisco</w:t>
      </w:r>
      <w:r>
        <w:t xml:space="preserve"> </w:t>
      </w:r>
      <w:r>
        <w:t xml:space="preserve">is fierce, requiring researchers to articulate the societal impact of their work compellingly.</w:t>
      </w:r>
    </w:p>
    <w:p>
      <w:pPr>
        <w:numPr>
          <w:ilvl w:val="0"/>
          <w:numId w:val="1001"/>
        </w:numPr>
        <w:pStyle w:val="Compact"/>
      </w:pPr>
      <w:r>
        <w:rPr>
          <w:bCs/>
          <w:b/>
        </w:rPr>
        <w:t xml:space="preserve">Multidisciplinary Collaboration:</w:t>
      </w:r>
    </w:p>
    <w:bookmarkEnd w:id="24"/>
    <w:bookmarkEnd w:id="25"/>
    <w:bookmarkStart w:id="29" w:name="X17be0f41faa3741d01498b38393be601dce45f6"/>
    <w:p>
      <w:pPr>
        <w:pStyle w:val="Heading2"/>
      </w:pPr>
      <w:r>
        <w:t xml:space="preserve">4. Key Challenges Faced by Medical Researchers in this Jurisdiction</w:t>
      </w:r>
    </w:p>
    <w:p>
      <w:pPr>
        <w:pStyle w:val="FirstParagraph"/>
      </w:pPr>
      <w:r>
        <w:t xml:space="preserve">The environment of a Medical Researcher is fraught with specific challenges that are amplified by the location and regulatory framework of the United States.</w:t>
      </w:r>
    </w:p>
    <w:p>
      <w:pPr>
        <w:pStyle w:val="BlockText"/>
      </w:pPr>
      <w:r>
        <w:t xml:space="preserve">"The pressure to translate findings rapidly into clinical practice, combined with the high cost of living and operation in San Francisco, creates a unique stressor on scientific productivity."</w:t>
      </w:r>
    </w:p>
    <w:bookmarkStart w:id="26" w:name="high-cost-of-operations"/>
    <w:p>
      <w:pPr>
        <w:pStyle w:val="Heading3"/>
      </w:pPr>
      <w:r>
        <w:t xml:space="preserve">4.1 High Cost of Operations</w:t>
      </w:r>
    </w:p>
    <w:p>
      <w:pPr>
        <w:pStyle w:val="FirstParagraph"/>
      </w:pPr>
      <w:r>
        <w:rPr>
          <w:iCs/>
          <w:i/>
          <w:bCs/>
          <w:b/>
        </w:rPr>
        <w:t xml:space="preserve">United States San Francisco</w:t>
      </w:r>
      <w:r>
        <w:t xml:space="preserve"> </w:t>
      </w:r>
      <w:r>
        <w:t xml:space="preserve">is one of the most expensive cities globally. For a Medical Researcher, this translates to high overhead costs for laboratory space, reagents, and personnel salaries. Securing sustainable funding becomes not just a scientific imperative but a financial survival strategy.</w:t>
      </w:r>
    </w:p>
    <w:bookmarkEnd w:id="26"/>
    <w:bookmarkStart w:id="27" w:name="regulatory-complexity"/>
    <w:p>
      <w:pPr>
        <w:pStyle w:val="Heading3"/>
      </w:pPr>
      <w:r>
        <w:t xml:space="preserve">4.2 Regulatory Complexity</w:t>
      </w:r>
    </w:p>
    <w:p>
      <w:pPr>
        <w:pStyle w:val="FirstParagraph"/>
      </w:pPr>
      <w:r>
        <w:t xml:space="preserve">Navigating the United States healthcare system involves dealing with HIPAA (Health Insurance Portability and Accountability Act) regulations strictly when handling patient data. Any breach or oversight can result in severe legal penalties and loss of licensure. Furthermore, multi-site trials common in SF require harmonizing protocols across different hospital systems, each with its own internal governance.</w:t>
      </w:r>
    </w:p>
    <w:bookmarkEnd w:id="27"/>
    <w:bookmarkStart w:id="28" w:name="talent-retention"/>
    <w:p>
      <w:pPr>
        <w:pStyle w:val="Heading3"/>
      </w:pPr>
      <w:r>
        <w:t xml:space="preserve">4.3 Talent Retention</w:t>
      </w:r>
    </w:p>
    <w:p>
      <w:pPr>
        <w:pStyle w:val="FirstParagraph"/>
      </w:pPr>
      <w:r>
        <w:t xml:space="preserve">While the Bay Area attracts top talent, it also sees high turnover due to recruitment by competing tech and biotech firms offering equity packages that traditional academic institutions struggle to match. Medical Researchers must constantly innovate their work environments to retain PhD and MD/PhD team members.</w:t>
      </w:r>
    </w:p>
    <w:bookmarkEnd w:id="28"/>
    <w:bookmarkEnd w:id="29"/>
    <w:bookmarkStart w:id="32" w:name="case-analysis-a-hypothetical-scenario"/>
    <w:p>
      <w:pPr>
        <w:pStyle w:val="Heading2"/>
      </w:pPr>
      <w:r>
        <w:t xml:space="preserve">5. Case Analysis: A Hypothetical Scenario</w:t>
      </w:r>
    </w:p>
    <w:p>
      <w:pPr>
        <w:pStyle w:val="FirstParagraph"/>
      </w:pPr>
      <w:r>
        <w:t xml:space="preserve">To illustrate these points, consider a hypothetical case of a Medical Researcher leading a trial for a new immunotherapy treatment for lung cancer in</w:t>
      </w:r>
      <w:r>
        <w:t xml:space="preserve"> </w:t>
      </w:r>
      <w:r>
        <w:rPr>
          <w:iCs/>
          <w:i/>
          <w:bCs/>
          <w:b/>
        </w:rPr>
        <w:t xml:space="preserve">United States San Francisco</w:t>
      </w:r>
      <w:r>
        <w:t xml:space="preserve">.</w:t>
      </w:r>
    </w:p>
    <w:bookmarkStart w:id="30" w:name="the-challenge"/>
    <w:p>
      <w:pPr>
        <w:pStyle w:val="Heading3"/>
      </w:pPr>
      <w:r>
        <w:t xml:space="preserve">5.1 The Challenge</w:t>
      </w:r>
    </w:p>
    <w:p>
      <w:pPr>
        <w:pStyle w:val="FirstParagraph"/>
      </w:pPr>
      <w:r>
        <w:t xml:space="preserve">The researcher identifies that current treatments have low efficacy in patients with specific genetic markers. They propose a new targeted therapy.</w:t>
      </w:r>
    </w:p>
    <w:bookmarkEnd w:id="30"/>
    <w:bookmarkStart w:id="31" w:name="implementation"/>
    <w:p>
      <w:pPr>
        <w:pStyle w:val="Heading3"/>
      </w:pPr>
      <w:r>
        <w:t xml:space="preserve">5.2 Implementation</w:t>
      </w:r>
    </w:p>
    <w:p>
      <w:pPr>
        <w:pStyle w:val="FirstParagraph"/>
      </w:pPr>
      <w:r>
        <w:t xml:space="preserve">,</w:t>
      </w:r>
    </w:p>
    <w:p>
      <w:pPr>
        <w:pStyle w:val="BodyText"/>
      </w:pPr>
      <w:r>
        <w:t xml:space="preserve">The researcher must:</w:t>
      </w:r>
    </w:p>
    <w:p>
      <w:pPr>
        <w:numPr>
          <w:ilvl w:val="0"/>
          <w:numId w:val="1002"/>
        </w:numPr>
        <w:pStyle w:val="Compact"/>
      </w:pPr>
      <w:r>
        <w:rPr>
          <w:bCs/>
          <w:b/>
        </w:rPr>
        <w:t xml:space="preserve">Navigate IRB Approval:</w:t>
      </w:r>
    </w:p>
    <w:p>
      <w:pPr>
        <w:numPr>
          <w:ilvl w:val="0"/>
          <w:numId w:val="1002"/>
        </w:numPr>
        <w:pStyle w:val="Compact"/>
      </w:pPr>
      <w:r>
        <w:rPr>
          <w:bCs/>
          <w:b/>
        </w:rPr>
        <w:t xml:space="preserve">Leverage Local Tech:</w:t>
      </w:r>
    </w:p>
    <w:p>
      <w:pPr>
        <w:numPr>
          <w:ilvl w:val="0"/>
          <w:numId w:val="1002"/>
        </w:numPr>
        <w:pStyle w:val="Compact"/>
      </w:pPr>
      <w:r>
        <w:rPr>
          <w:bCs/>
          <w:b/>
        </w:rPr>
        <w:t xml:space="preserve">Ensure Diversity:</w:t>
      </w:r>
      <w:r>
        <w:rPr>
          <w:iCs/>
          <w:i/>
        </w:rPr>
        <w:t xml:space="preserve">United States San Francisco</w:t>
      </w:r>
      <w:r>
        <w:t xml:space="preserve">, adhering to FDA guidance on representative clinical trials.</w:t>
      </w:r>
    </w:p>
    <w:p>
      <w:pPr>
        <w:numPr>
          <w:ilvl w:val="0"/>
          <w:numId w:val="1002"/>
        </w:numPr>
        <w:pStyle w:val="Compact"/>
      </w:pPr>
      <w:r>
        <w:rPr>
          <w:bCs/>
          <w:b/>
        </w:rPr>
        <w:t xml:space="preserve">Funding Acquisition:</w:t>
      </w:r>
    </w:p>
    <w:bookmarkEnd w:id="31"/>
    <w:bookmarkEnd w:id="32"/>
    <w:bookmarkStart w:id="33" w:name="impact-and-future-outlook"/>
    <w:p>
      <w:pPr>
        <w:pStyle w:val="Heading2"/>
      </w:pPr>
      <w:r>
        <w:t xml:space="preserve">6. Impact and Future Outlook</w:t>
      </w:r>
    </w:p>
    <w:p>
      <w:pPr>
        <w:pStyle w:val="FirstParagraph"/>
      </w:pPr>
      <w:r>
        <w:t xml:space="preserve">The work of a Medical Researcher in this region has outsized influence. Successes in San Francisco often set global standards for treatment protocols. The integration of AI and machine learning, facilitated by the local tech ecosystem, is accelerating drug discovery timelines.</w:t>
      </w:r>
    </w:p>
    <w:p>
      <w:pPr>
        <w:pStyle w:val="BodyText"/>
      </w:pPr>
      <w:r>
        <w:t xml:space="preserve">However, future challenges include increasing regulatory burdens regarding gene editing technologies (CRISPR) and the ethical implications of using patient data in AI models. Medical Researchers must remain agile, continuously updating their knowledge base to comply with evolving United States laws and international scientific standards.</w:t>
      </w:r>
    </w:p>
    <w:bookmarkEnd w:id="33"/>
    <w:bookmarkStart w:id="34" w:name="conclusion"/>
    <w:p>
      <w:pPr>
        <w:pStyle w:val="Heading2"/>
      </w:pPr>
      <w:r>
        <w:t xml:space="preserve">7. Conclusion</w:t>
      </w:r>
    </w:p>
    <w:p>
      <w:pPr>
        <w:pStyle w:val="FirstParagraph"/>
      </w:pPr>
      <w:r>
        <w:t xml:space="preserve">This</w:t>
      </w:r>
      <w:r>
        <w:t xml:space="preserve"> </w:t>
      </w:r>
      <w:r>
        <w:rPr>
          <w:iCs/>
          <w:i/>
          <w:bCs/>
          <w:b/>
        </w:rPr>
        <w:t xml:space="preserve">Case Study</w:t>
      </w:r>
      <w:r>
        <w:t xml:space="preserve"> </w:t>
      </w:r>
      <w:r>
        <w:t xml:space="preserve">demonstrates that the role of a Medical Researcher in</w:t>
      </w:r>
      <w:r>
        <w:t xml:space="preserve"> </w:t>
      </w:r>
      <w:r>
        <w:rPr>
          <w:iCs/>
          <w:i/>
          <w:bCs/>
          <w:b/>
        </w:rPr>
        <w:t xml:space="preserve">United States San Francisco</w:t>
      </w:r>
    </w:p>
    <w:p>
      <w:pPr>
        <w:pStyle w:val="BodyText"/>
      </w:pPr>
      <w:r>
        <w:rPr>
          <w:bCs/>
          <w:b/>
        </w:rPr>
        <w:t xml:space="preserve">Key Takeaway:</w:t>
      </w:r>
      <w:r>
        <w:t xml:space="preserve"> </w:t>
      </w:r>
      <w:r>
        <w:t xml:space="preserve">For any organization or individual engaging with the Medical Researcher profile in this jurisdiction, understanding the specific interplay between federal US regulations and the local San Francisco innovation ecosystem is critical for success.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United States San Francisco</dc:title>
  <dc:creator/>
  <dc:language>en</dc:language>
  <cp:keywords/>
  <dcterms:created xsi:type="dcterms:W3CDTF">2026-07-29T17:35:45Z</dcterms:created>
  <dcterms:modified xsi:type="dcterms:W3CDTF">2026-07-29T17:35:45Z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