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Midwifery</w:t>
      </w:r>
      <w:r>
        <w:t xml:space="preserve"> </w:t>
      </w:r>
      <w:r>
        <w:t xml:space="preserve">Care</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cf982d803e6dfac7fb8fb1e20f3d5b9c715d228"/>
    <w:p>
      <w:pPr>
        <w:pStyle w:val="Heading1"/>
      </w:pPr>
      <w:r>
        <w:t xml:space="preserve">A Case Study on Integrated Midwifery Care Models in New Zealand Wellington</w:t>
      </w:r>
    </w:p>
    <w:p>
      <w:pPr>
        <w:pStyle w:val="FirstParagraph"/>
      </w:pPr>
      <w:r>
        <w:rPr>
          <w:bCs/>
          <w:b/>
        </w:rPr>
        <w:t xml:space="preserve">Date:</w:t>
      </w:r>
      <w:r>
        <w:t xml:space="preserve"> </w:t>
      </w:r>
      <w:r>
        <w:t xml:space="preserve">October 2023</w:t>
      </w:r>
      <w:r>
        <w:br/>
      </w:r>
      <w:r>
        <w:rPr>
          <w:bCs/>
          <w:b/>
        </w:rPr>
        <w:t xml:space="preserve">Purpose:</w:t>
      </w:r>
      <w:r>
        <w:t xml:space="preserve">To analyze the efficacy, challenges, and cultural integration of midwife-led care within the urban context of New Zealand Wellington.</w:t>
      </w:r>
    </w:p>
    <w:bookmarkEnd w:id="20"/>
    <w:bookmarkStart w:id="21" w:name="executive-summary"/>
    <w:p>
      <w:pPr>
        <w:pStyle w:val="Heading2"/>
      </w:pPr>
      <w:r>
        <w:t xml:space="preserve">1. Executive Summary</w:t>
      </w:r>
    </w:p>
    <w:p>
      <w:pPr>
        <w:pStyle w:val="FirstParagraph"/>
      </w:pPr>
      <w:r>
        <w:t xml:space="preserve">This Case Study examines the role and impact of professional Midwives operating within the healthcare infrastructure of New Zealand Wellington. As a capital city with a diverse demographic, Wellington presents unique challenges and opportunities for maternal health services. This document explores how independent practice models, integrated into both public hospital systems and private community settings, contribute to better birth outcomes, higher satisfaction rates, and the preservation of cultural safety for Māori and Pacific communities.</w:t>
      </w:r>
    </w:p>
    <w:bookmarkEnd w:id="21"/>
    <w:bookmarkStart w:id="22" w:name="Xfc48233c1e38be1b05e04cff4ec0c08504ecc23"/>
    <w:p>
      <w:pPr>
        <w:pStyle w:val="Heading2"/>
      </w:pPr>
      <w:r>
        <w:t xml:space="preserve">2. Context: The Urban Landscape of New Zealand Wellington</w:t>
      </w:r>
    </w:p>
    <w:p>
      <w:pPr>
        <w:pStyle w:val="FirstParagraph"/>
      </w:pPr>
      <w:r>
        <w:t xml:space="preserve">New Zealand Wellington is not merely a geographic location but a dynamic hub where urban convenience meets significant cultural diversity. For maternal health, the city serves as a central point for tertiary care while also supporting robust community-based services. The healthcare system in New Zealand operates under the dual frameworks of public funding and private provision. In this context, the Midwife plays a pivotal role as either an independent practitioner or part of an interdisciplinary team.</w:t>
      </w:r>
    </w:p>
    <w:p>
      <w:pPr>
        <w:pStyle w:val="BodyText"/>
      </w:pPr>
      <w:r>
        <w:t xml:space="preserve">Wellington’s specific demographic mix includes a high proportion of Māori (the indigenous people of New Zealand) and Pacific Islander populations, alongside growing immigrant communities from Asia and the Middle East. These groups have historically experienced disparities in health outcomes. Therefore, any Case Study regarding Midwifery in this region must address the necessity for culturally responsive care.</w:t>
      </w:r>
    </w:p>
    <w:bookmarkEnd w:id="22"/>
    <w:bookmarkStart w:id="25" w:name="the-role-of-the-midwife-in-wellington"/>
    <w:p>
      <w:pPr>
        <w:pStyle w:val="Heading2"/>
      </w:pPr>
      <w:r>
        <w:t xml:space="preserve">3. The Role of the Midwife in Wellington</w:t>
      </w:r>
    </w:p>
    <w:p>
      <w:pPr>
        <w:pStyle w:val="FirstParagraph"/>
      </w:pPr>
      <w:r>
        <w:t xml:space="preserve">In New Zealand, a registered Midwife is an autonomous healthcare professional responsible for providing care to women and families during pregnancy, birth, and the postnatal period. Unlike obstetricians who specialize in medical complications, the primary focus of a Midwife is normal physiological birth.</w:t>
      </w:r>
    </w:p>
    <w:bookmarkStart w:id="23" w:name="independent-practice-vs.-integrated-care"/>
    <w:p>
      <w:pPr>
        <w:pStyle w:val="Heading3"/>
      </w:pPr>
      <w:r>
        <w:t xml:space="preserve">3.1 Independent Practice vs. Integrated Care</w:t>
      </w:r>
    </w:p>
    <w:p>
      <w:pPr>
        <w:pStyle w:val="FirstParagraph"/>
      </w:pPr>
      <w:r>
        <w:t xml:space="preserve">In Wellington, many Midwives operate under independent practice models funded by the Ministry of Health’s Continuing After Birth Care (CABC) program or Private Insurance. This allows women to choose their caregiver, fostering continuity of care—a key factor in positive birth experiences. However, when complications arise that are beyond the scope of midwifery care, these Midwives facilitate seamless referrals to obstetricians at major hubs like Wellington Hospital.</w:t>
      </w:r>
    </w:p>
    <w:bookmarkEnd w:id="23"/>
    <w:bookmarkStart w:id="24" w:name="cultural-safety-and-te-ao-māori"/>
    <w:p>
      <w:pPr>
        <w:pStyle w:val="Heading3"/>
      </w:pPr>
      <w:r>
        <w:t xml:space="preserve">3.2 Cultural Safety and Te Ao Māori</w:t>
      </w:r>
    </w:p>
    <w:p>
      <w:pPr>
        <w:pStyle w:val="FirstParagraph"/>
      </w:pPr>
      <w:r>
        <w:t xml:space="preserve">A critical component of this Case Study is the integration of Te Tiriti o Waitangi (The Treaty of Waitangi) principles into practice. For a Midwife serving in New Zealand Wellington, providing "cultural safety" means acknowledging and respecting the identity, values, and beliefs of Māori women. This involves:</w:t>
      </w:r>
    </w:p>
    <w:p>
      <w:pPr>
        <w:numPr>
          <w:ilvl w:val="0"/>
          <w:numId w:val="1001"/>
        </w:numPr>
        <w:pStyle w:val="Compact"/>
      </w:pPr>
      <w:r>
        <w:rPr>
          <w:bCs/>
          <w:b/>
        </w:rPr>
        <w:t xml:space="preserve">Kaitiakitanga (Guardianship):</w:t>
      </w:r>
      <w:r>
        <w:t xml:space="preserve"> </w:t>
      </w:r>
      <w:r>
        <w:t xml:space="preserve">Supporting the whānau (family) unit as a whole.</w:t>
      </w:r>
    </w:p>
    <w:p>
      <w:pPr>
        <w:numPr>
          <w:ilvl w:val="0"/>
          <w:numId w:val="1001"/>
        </w:numPr>
        <w:pStyle w:val="Compact"/>
      </w:pPr>
      <w:r>
        <w:rPr>
          <w:bCs/>
          <w:b/>
        </w:rPr>
        <w:t xml:space="preserve">Tino Rangatiratanga (Self-determination):</w:t>
      </w:r>
      <w:r>
        <w:t xml:space="preserve"> </w:t>
      </w:r>
      <w:r>
        <w:t xml:space="preserve">Empowering women to make informed choices about their birth plans and birthing locations.</w:t>
      </w:r>
    </w:p>
    <w:p>
      <w:pPr>
        <w:numPr>
          <w:ilvl w:val="0"/>
          <w:numId w:val="1001"/>
        </w:numPr>
        <w:pStyle w:val="Compact"/>
      </w:pPr>
      <w:r>
        <w:rPr>
          <w:bCs/>
          <w:b/>
        </w:rPr>
        <w:t xml:space="preserve">Oritetanga (Partnership):</w:t>
      </w:r>
      <w:r>
        <w:t xml:space="preserve"> </w:t>
      </w:r>
      <w:r>
        <w:t xml:space="preserve">Collaborating with Māori health providers like Te Whatu Ora (Health New Zealand) local trusts.</w:t>
      </w:r>
    </w:p>
    <w:bookmarkEnd w:id="24"/>
    <w:bookmarkEnd w:id="25"/>
    <w:bookmarkStart w:id="29" w:name="case-scenario-arohas-journey"/>
    <w:p>
      <w:pPr>
        <w:pStyle w:val="Heading2"/>
      </w:pPr>
      <w:r>
        <w:t xml:space="preserve">4. Case Scenario: "Aroha’s Journey"</w:t>
      </w:r>
    </w:p>
    <w:p>
      <w:pPr>
        <w:pStyle w:val="FirstParagraph"/>
      </w:pPr>
      <w:r>
        <w:t xml:space="preserve">To illustrate the practical application of midwifery care in this setting, we present a composite case scenario involving "Aroha," a 32-year-old Māori woman expecting her first child in Wellington.</w:t>
      </w:r>
    </w:p>
    <w:bookmarkStart w:id="26" w:name="antenatal-care"/>
    <w:p>
      <w:pPr>
        <w:pStyle w:val="Heading3"/>
      </w:pPr>
      <w:r>
        <w:t xml:space="preserve">4.1 Antenatal Care</w:t>
      </w:r>
    </w:p>
    <w:p>
      <w:pPr>
        <w:pStyle w:val="FirstParagraph"/>
      </w:pPr>
      <w:r>
        <w:t xml:space="preserve">Aroha chose to register with an independent Midwife for her antenatal care. This decision was driven by the desire for a consistent relationship rather than seeing different nurses or midwives at each hospital visit. Her Midwife provided care in Aroha’s home in the eastern suburbs of Wellington, allowing for assessments in her actual living environment. This approach enabled the identification of potential social determinants of health early on.</w:t>
      </w:r>
    </w:p>
    <w:p>
      <w:pPr>
        <w:pStyle w:val="BodyText"/>
      </w:pPr>
      <w:r>
        <w:t xml:space="preserve">During these visits, the Midwife incorporated wānanga (meaningful discussions) to understand Aroha’s fears and hopes. Recognizing Aroha’s Māori heritage, the Midwife invited her extended whānau to a postnatal preparation session, ensuring that support networks were established before birth.</w:t>
      </w:r>
    </w:p>
    <w:bookmarkEnd w:id="26"/>
    <w:bookmarkStart w:id="27" w:name="the-birth-experience"/>
    <w:p>
      <w:pPr>
        <w:pStyle w:val="Heading3"/>
      </w:pPr>
      <w:r>
        <w:t xml:space="preserve">4.2 The Birth Experience</w:t>
      </w:r>
    </w:p>
    <w:p>
      <w:pPr>
        <w:pStyle w:val="FirstParagraph"/>
      </w:pPr>
      <w:r>
        <w:t xml:space="preserve">Aroha opted for a home birth. Her Midwife monitored her progress via telehealth during the early stages of labor, which was common for Wellington residents to avoid traffic congestion in the capital city. When contractions intensified, Aroha called her Midwife directly. The Midwife arrived within 45 minutes.</w:t>
      </w:r>
    </w:p>
    <w:p>
      <w:pPr>
        <w:pStyle w:val="BodyText"/>
      </w:pPr>
      <w:r>
        <w:t xml:space="preserve">The birth proceeded without medical intervention. The Midwife provided physical support and emotional encouragement, utilizing breathing techniques and hydrotherapy using a portable tub set up in the living room. This aligns with the New Zealand midwifery model’s emphasis on minimizing unnecessary medicalization of normal birth.</w:t>
      </w:r>
    </w:p>
    <w:bookmarkEnd w:id="27"/>
    <w:bookmarkStart w:id="28" w:name="postnatal-care"/>
    <w:p>
      <w:pPr>
        <w:pStyle w:val="Heading3"/>
      </w:pPr>
      <w:r>
        <w:t xml:space="preserve">4.3 Postnatal Care</w:t>
      </w:r>
    </w:p>
    <w:p>
      <w:pPr>
        <w:pStyle w:val="FirstParagraph"/>
      </w:pPr>
      <w:r>
        <w:t xml:space="preserve">In accordance with best practices in New Zealand, the Midwife conducted visits during the first two weeks postpartum. This included monitoring Aroha’s physical recovery, supporting breastfeeding initiation, and observing baby boy’s development. Crucially, the Midwife screened for postnatal depression using validated tools adapted for cultural relevance.</w:t>
      </w:r>
    </w:p>
    <w:p>
      <w:pPr>
        <w:pStyle w:val="BodyText"/>
      </w:pPr>
      <w:r>
        <w:t xml:space="preserve">Aroha reported high satisfaction with her care trajectory. She cited the continuity of knowing her caregiver as the most significant factor in feeling safe and empowered during a vulnerable time.</w:t>
      </w:r>
    </w:p>
    <w:bookmarkEnd w:id="28"/>
    <w:bookmarkEnd w:id="29"/>
    <w:bookmarkStart w:id="30" w:name="analysis-of-outcomes"/>
    <w:p>
      <w:pPr>
        <w:pStyle w:val="Heading2"/>
      </w:pPr>
      <w:r>
        <w:t xml:space="preserve">5. Analysis of Outcomes</w:t>
      </w:r>
    </w:p>
    <w:p>
      <w:pPr>
        <w:pStyle w:val="FirstParagraph"/>
      </w:pPr>
      <w:r>
        <w:t xml:space="preserve">The case of Aroha reflects broader trends observed in midwifery care across New Zealand Wellington:</w:t>
      </w:r>
    </w:p>
    <w:p>
      <w:pPr>
        <w:numPr>
          <w:ilvl w:val="0"/>
          <w:numId w:val="1002"/>
        </w:numPr>
        <w:pStyle w:val="Compact"/>
      </w:pPr>
      <w:r>
        <w:rPr>
          <w:bCs/>
          <w:b/>
        </w:rPr>
        <w:t xml:space="preserve">Better Health Outcomes:</w:t>
      </w:r>
      <w:r>
        <w:t xml:space="preserve"> </w:t>
      </w:r>
      <w:r>
        <w:t xml:space="preserve">Studies indicate that women who receive continuous midwife-led care have lower rates of instrumental delivery and cesarean sections.</w:t>
      </w:r>
    </w:p>
    <w:p>
      <w:pPr>
        <w:numPr>
          <w:ilvl w:val="0"/>
          <w:numId w:val="1002"/>
        </w:numPr>
        <w:pStyle w:val="Compact"/>
      </w:pPr>
      <w:r>
        <w:rPr>
          <w:bCs/>
          <w:b/>
        </w:rPr>
        <w:t xml:space="preserve">Cultural Improvement:</w:t>
      </w:r>
      <w:r>
        <w:t xml:space="preserve"> </w:t>
      </w:r>
      <w:r>
        <w:t xml:space="preserve">By engaging with Māori concepts of health, Midwives help reduce the disparity gap in infant mortality and maternal health issues.</w:t>
      </w:r>
    </w:p>
    <w:p>
      <w:pPr>
        <w:numPr>
          <w:ilvl w:val="0"/>
          <w:numId w:val="1002"/>
        </w:numPr>
        <w:pStyle w:val="Compact"/>
      </w:pPr>
      <w:r>
        <w:rPr>
          <w:bCs/>
          <w:b/>
        </w:rPr>
        <w:t xml:space="preserve">Economic Efficiency:</w:t>
      </w:r>
      <w:r>
        <w:t xml:space="preserve"> </w:t>
      </w:r>
      <w:r>
        <w:t xml:space="preserve">Home births and community-based midwifery care are often more cost-effective for the public health system than hospital admissions for low-risk pregnancies.</w:t>
      </w:r>
    </w:p>
    <w:bookmarkEnd w:id="30"/>
    <w:bookmarkStart w:id="33" w:name="challenges-and-recommendations"/>
    <w:p>
      <w:pPr>
        <w:pStyle w:val="Heading2"/>
      </w:pPr>
      <w:r>
        <w:t xml:space="preserve">6. Challenges and Recommendations</w:t>
      </w:r>
    </w:p>
    <w:p>
      <w:pPr>
        <w:pStyle w:val="FirstParagraph"/>
      </w:pPr>
      <w:r>
        <w:t xml:space="preserve">Despite successes, the Case Study identifies several challenges facing Midwives in New Zealand Wellington:</w:t>
      </w:r>
    </w:p>
    <w:bookmarkStart w:id="31" w:name="a.-workforce-pressure"/>
    <w:p>
      <w:pPr>
        <w:pStyle w:val="Heading3"/>
      </w:pPr>
      <w:r>
        <w:rPr>
          <w:bCs/>
          <w:b/>
        </w:rPr>
        <w:t xml:space="preserve">A. Workforce Pressure</w:t>
      </w:r>
    </w:p>
    <w:p>
      <w:pPr>
        <w:pStyle w:val="FirstParagraph"/>
      </w:pPr>
      <w:r>
        <w:t xml:space="preserve">Burnout among midwives is a growing concern due to high workloads and emotional demands. The urban pace of Wellington can lead to fragmented care if not managed properly.</w:t>
      </w:r>
    </w:p>
    <w:bookmarkEnd w:id="31"/>
    <w:bookmarkStart w:id="32" w:name="b.-access-disparities"/>
    <w:p>
      <w:pPr>
        <w:pStyle w:val="Heading3"/>
      </w:pPr>
      <w:r>
        <w:rPr>
          <w:bCs/>
          <w:b/>
        </w:rPr>
        <w:t xml:space="preserve">B. Access Disparities</w:t>
      </w:r>
    </w:p>
    <w:p>
      <w:pPr>
        <w:pStyle w:val="FirstParagraph"/>
      </w:pPr>
      <w:r>
        <w:t xml:space="preserve">While independent midwifery exists, it is not equally accessible to all socioeconomic groups in the capital city due to out-of-pocket costs for some services.</w:t>
      </w:r>
    </w:p>
    <w:bookmarkEnd w:id="32"/>
    <w:bookmarkEnd w:id="33"/>
    <w:bookmarkStart w:id="34" w:name="recommendations"/>
    <w:p>
      <w:pPr>
        <w:pStyle w:val="Heading2"/>
      </w:pPr>
      <w:r>
        <w:rPr>
          <w:bCs/>
          <w:b/>
        </w:rPr>
        <w:t xml:space="preserve">Recommendations:</w:t>
      </w:r>
    </w:p>
    <w:p>
      <w:pPr>
        <w:numPr>
          <w:ilvl w:val="0"/>
          <w:numId w:val="1003"/>
        </w:numPr>
        <w:pStyle w:val="Compact"/>
      </w:pPr>
      <w:r>
        <w:rPr>
          <w:bCs/>
          <w:b/>
        </w:rPr>
        <w:t xml:space="preserve">Funding Reform:</w:t>
      </w:r>
      <w:r>
        <w:t xml:space="preserve"> </w:t>
      </w:r>
      <w:r>
        <w:t xml:space="preserve">Expand government funding models to cover more aspects of independent midwifery care, ensuring equity for low-income families in Wellington.</w:t>
      </w:r>
    </w:p>
    <w:p>
      <w:pPr>
        <w:numPr>
          <w:ilvl w:val="0"/>
          <w:numId w:val="1003"/>
        </w:numPr>
        <w:pStyle w:val="Compact"/>
      </w:pPr>
      <w:r>
        <w:rPr>
          <w:bCs/>
          <w:b/>
        </w:rPr>
        <w:t xml:space="preserve">Tech Integration:</w:t>
      </w:r>
    </w:p>
    <w:p>
      <w:pPr>
        <w:numPr>
          <w:ilvl w:val="0"/>
          <w:numId w:val="1003"/>
        </w:numPr>
        <w:pStyle w:val="Compact"/>
      </w:pPr>
      <w:r>
        <w:rPr>
          <w:bCs/>
          <w:b/>
        </w:rPr>
        <w:t xml:space="preserve">Cultural Competency Training:</w:t>
      </w:r>
      <w:r>
        <w:t xml:space="preserve"> </w:t>
      </w:r>
      <w:r>
        <w:t xml:space="preserve">Mandatory ongoing training for all midwives working in New Zealand Wellington to ensure they are equipped to serve diverse populations effectively.</w:t>
      </w:r>
    </w:p>
    <w:bookmarkEnd w:id="34"/>
    <w:bookmarkStart w:id="35" w:name="conclusion"/>
    <w:p>
      <w:pPr>
        <w:pStyle w:val="Heading2"/>
      </w:pPr>
      <w:r>
        <w:t xml:space="preserve">7. Conclusion</w:t>
      </w:r>
    </w:p>
    <w:p>
      <w:pPr>
        <w:pStyle w:val="FirstParagraph"/>
      </w:pPr>
      <w:r>
        <w:t xml:space="preserve">This Case Study demonstrates that the Midwife is an essential pillar of the healthcare system in New Zealand Wellington. By combining clinical expertise with a holistic, culturally sensitive approach, midwives contribute significantly to the wellbeing of mothers and infants. The model seen in Wellington offers a replicable framework for urban centers globally, emphasizing that care should be continuous, respectful, and rooted in the specific cultural context of the community served.</w:t>
      </w:r>
    </w:p>
    <w:p>
      <w:pPr>
        <w:pStyle w:val="BodyText"/>
      </w:pPr>
      <w:r>
        <w:t xml:space="preserve">For policymakers and healthcare providers aiming to improve maternal health outcomes in New Zealand Wellington, investing in robust midwifery services is not just a clinical decision but a social imperative.</w:t>
      </w:r>
    </w:p>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Midwifery Care in New Zealand Wellington</dc:title>
  <dc:creator/>
  <dc:language>en</dc:language>
  <cp:keywords/>
  <dcterms:created xsi:type="dcterms:W3CDTF">2026-07-29T15:09:57Z</dcterms:created>
  <dcterms:modified xsi:type="dcterms:W3CDTF">2026-07-29T15:09:57Z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