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53bc06e8135a51e40d4ef41f9f029261c545e4"/>
    <w:p>
      <w:pPr>
        <w:pStyle w:val="Heading1"/>
      </w:pPr>
      <w:r>
        <w:t xml:space="preserve">Military Officer Case Study: Strategic Leadership and Community Integration in Australia, Melbourne</w:t>
      </w:r>
    </w:p>
    <w:p>
      <w:pPr>
        <w:pStyle w:val="FirstParagraph"/>
      </w:pPr>
      <w:r>
        <w:rPr>
          <w:bCs/>
          <w:b/>
        </w:rPr>
        <w:t xml:space="preserve">Date:</w:t>
      </w:r>
      <w:r>
        <w:t xml:space="preserve"> </w:t>
      </w:r>
      <w:r>
        <w:t xml:space="preserve">October 24, 2023</w:t>
      </w:r>
      <w:r>
        <w:br/>
      </w:r>
      <w:r>
        <w:rPr>
          <w:iCs/>
          <w:i/>
        </w:rPr>
        <w:t xml:space="preserve">The Transition of a Senior Military Officer into Civilian Strategic Roles within the Urban Landscape of Australia, Melbourne.</w:t>
      </w:r>
    </w:p>
    <w:bookmarkStart w:id="20" w:name="introduction-and-context"/>
    <w:p>
      <w:pPr>
        <w:pStyle w:val="Heading2"/>
      </w:pPr>
      <w:r>
        <w:t xml:space="preserve">1. Introduction and Context</w:t>
      </w:r>
    </w:p>
    <w:p>
      <w:pPr>
        <w:pStyle w:val="FirstParagraph"/>
      </w:pPr>
      <w:r>
        <w:t xml:space="preserve">In the modern geopolitical landscape, the role of a</w:t>
      </w:r>
      <w:r>
        <w:t xml:space="preserve"> </w:t>
      </w:r>
      <w:r>
        <w:rPr>
          <w:bCs/>
          <w:b/>
        </w:rPr>
        <w:t xml:space="preserve">Military Officer</w:t>
      </w:r>
    </w:p>
    <w:p>
      <w:pPr>
        <w:pStyle w:val="BodyText"/>
      </w:pPr>
      <w:r>
        <w:t xml:space="preserve">Military Officer stationed at the Royal Australian Air Force Base East Sale but frequently deployed to strategic command centers in</w:t>
      </w:r>
      <w:r>
        <w:t xml:space="preserve"> </w:t>
      </w:r>
      <w:r>
        <w:rPr>
          <w:bCs/>
          <w:b/>
        </w:rPr>
        <w:t xml:space="preserve">Australia Melbourne</w:t>
      </w:r>
      <w:r>
        <w:t xml:space="preserve">.</w:t>
      </w:r>
    </w:p>
    <w:p>
      <w:pPr>
        <w:pStyle w:val="BodyText"/>
      </w:pPr>
      <w:r>
        <w:t xml:space="preserve">Melbourne, as the capital of Victoria and one of the most significant cities in Australia, presents a unique environment for defense operations. It is a city known for its cultural diversity, economic resilience, and status as a major logistics hub. For military personnel operating in this region, understanding the local demographic fabric and urban infrastructure is not merely beneficial; it is critical for national security and community engagement strategies. This document explores how Sterling’s expertise was leveraged to enhance defense readiness while fostering strong ties with the civilian population of</w:t>
      </w:r>
      <w:r>
        <w:t xml:space="preserve"> </w:t>
      </w:r>
      <w:r>
        <w:rPr>
          <w:bCs/>
          <w:b/>
        </w:rPr>
        <w:t xml:space="preserve">Australia Melbourne</w:t>
      </w:r>
      <w:r>
        <w:t xml:space="preserve">.</w:t>
      </w:r>
    </w:p>
    <w:bookmarkEnd w:id="20"/>
    <w:bookmarkStart w:id="21" w:name="subject-profile-the-military-officer"/>
    <w:p>
      <w:pPr>
        <w:pStyle w:val="Heading2"/>
      </w:pPr>
      <w:r>
        <w:t xml:space="preserve">2. Subject Profile: The Military Officer</w:t>
      </w:r>
    </w:p>
    <w:p>
      <w:pPr>
        <w:pStyle w:val="FirstParagraph"/>
      </w:pPr>
      <w:r>
        <w:t xml:space="preserve">Lieutenant Colonel Sterling brings over twenty years of service in the Australian Defence Force (ADF). Specializing in joint operations and intelligence analysis, his career has been marked by deployments across the Indo-Pacific region. However, his most significant recent contributions have occurred closer to home. As a</w:t>
      </w:r>
      <w:r>
        <w:t xml:space="preserve"> </w:t>
      </w:r>
      <w:r>
        <w:rPr>
          <w:bCs/>
          <w:b/>
        </w:rPr>
        <w:t xml:space="preserve">Military Officer</w:t>
      </w:r>
    </w:p>
    <w:bookmarkEnd w:id="21"/>
    <w:bookmarkStart w:id="22" w:name="X0f05f4600cca8ea8640855d63f3fa774941ad64"/>
    <w:p>
      <w:pPr>
        <w:pStyle w:val="Heading2"/>
      </w:pPr>
      <w:r>
        <w:t xml:space="preserve">3. The Melbourne Context: Challenges and Opportunities</w:t>
      </w:r>
    </w:p>
    <w:p>
      <w:pPr>
        <w:pStyle w:val="FirstParagraph"/>
      </w:pPr>
      <w:r>
        <w:t xml:space="preserve">The primary focus of this case study is the operational environment of</w:t>
      </w:r>
      <w:r>
        <w:t xml:space="preserve"> </w:t>
      </w:r>
      <w:r>
        <w:rPr>
          <w:bCs/>
          <w:b/>
        </w:rPr>
        <w:t xml:space="preserve">Australia Melbourne</w:t>
      </w:r>
      <w:r>
        <w:t xml:space="preserve">. While often perceived as a peaceful urban center, Melbourne hosts critical national infrastructure, including major ports, international airports, and government administrative buildings. For the ADF, this creates a dual mandate: maintaining high-state readiness against external threats while engaging proactively with local communities to prevent radicalization and build trust.</w:t>
      </w:r>
    </w:p>
    <w:p>
      <w:pPr>
        <w:pStyle w:val="BodyText"/>
      </w:pPr>
      <w:r>
        <w:t xml:space="preserve">One of the key challenges identified in this case study was the "perception gap." In</w:t>
      </w:r>
      <w:r>
        <w:t xml:space="preserve"> </w:t>
      </w:r>
      <w:r>
        <w:rPr>
          <w:bCs/>
          <w:b/>
        </w:rPr>
        <w:t xml:space="preserve">Australia Melbourne</w:t>
      </w:r>
      <w:r>
        <w:t xml:space="preserve">, civilians often view military operations as distant or abstract. Sterling’s mission involved bridging this gap by initiating public engagement programs that highlighted the humanitarian and disaster relief capabilities of the ADF, rather than solely focusing on combat prowess.</w:t>
      </w:r>
    </w:p>
    <w:bookmarkEnd w:id="22"/>
    <w:bookmarkStart w:id="23" w:name="operational-strategy-and-implementation"/>
    <w:p>
      <w:pPr>
        <w:pStyle w:val="Heading2"/>
      </w:pPr>
      <w:r>
        <w:t xml:space="preserve">4. Operational Strategy and Implementation</w:t>
      </w:r>
    </w:p>
    <w:p>
      <w:pPr>
        <w:pStyle w:val="FirstParagraph"/>
      </w:pPr>
      <w:r>
        <w:t xml:space="preserve">To address these challenges, Sterling implemented a three-phase strategy tailored specifically for the</w:t>
      </w:r>
      <w:r>
        <w:t xml:space="preserve"> </w:t>
      </w:r>
      <w:r>
        <w:rPr>
          <w:bCs/>
          <w:b/>
        </w:rPr>
        <w:t xml:space="preserve">Australia Melbourne</w:t>
      </w:r>
    </w:p>
    <w:p>
      <w:pPr>
        <w:pStyle w:val="BodyText"/>
      </w:pPr>
      <w:r>
        <w:rPr>
          <w:bCs/>
          <w:b/>
        </w:rPr>
        <w:t xml:space="preserve">Phase 1: Stakeholder Engagement</w:t>
      </w:r>
      <w:r>
        <w:br/>
      </w:r>
      <w:r>
        <w:t xml:space="preserve">Analyzed local demographics and established dialogue with city council members, emergency services, and community leaders in Melbourne.</w:t>
      </w:r>
    </w:p>
    <w:p>
      <w:pPr>
        <w:pStyle w:val="BodyText"/>
      </w:pPr>
      <w:r>
        <w:rPr>
          <w:bCs/>
          <w:b/>
        </w:rPr>
        <w:t xml:space="preserve">Phase 2: Joint Exercises</w:t>
      </w:r>
      <w:r>
        <w:br/>
      </w:r>
      <w:r>
        <w:t xml:space="preserve">Coordinated large-scale urban disaster response drills involving police, fire services, and military units to test interoperability.</w:t>
      </w:r>
    </w:p>
    <w:p>
      <w:pPr>
        <w:pStyle w:val="BodyText"/>
      </w:pPr>
      <w:r>
        <w:rPr>
          <w:bCs/>
          <w:b/>
        </w:rPr>
        <w:t xml:space="preserve">Phase 3: Public Education</w:t>
      </w:r>
      <w:r>
        <w:br/>
      </w:r>
      <w:r>
        <w:t xml:space="preserve">Led workshops on cybersecurity and critical infrastructure protection for local businesses and government entities.</w:t>
      </w:r>
    </w:p>
    <w:p>
      <w:pPr>
        <w:pStyle w:val="BodyText"/>
      </w:pPr>
      <w:r>
        <w:t xml:space="preserve">A significant achievement during Phase 1 was the establishment of the "Melbourne Defence Liaison Office." This initiative served as a direct channel between ADF command in</w:t>
      </w:r>
      <w:r>
        <w:t xml:space="preserve"> </w:t>
      </w:r>
      <w:r>
        <w:rPr>
          <w:bCs/>
          <w:b/>
        </w:rPr>
        <w:t xml:space="preserve">Australia Melbourne</w:t>
      </w:r>
    </w:p>
    <w:bookmarkEnd w:id="23"/>
    <w:bookmarkStart w:id="24" w:name="outcomes-and-impact-analysis"/>
    <w:p>
      <w:pPr>
        <w:pStyle w:val="Heading2"/>
      </w:pPr>
      <w:r>
        <w:t xml:space="preserve">5. Outcomes and Impact Analysis</w:t>
      </w:r>
    </w:p>
    <w:p>
      <w:pPr>
        <w:pStyle w:val="FirstParagraph"/>
      </w:pPr>
      <w:r>
        <w:t xml:space="preserve">The results of Sterling’s leadership were measurable and profound. Within eighteen months, participation in joint emergency response exercises increased by 40% across the greater Melbourne metropolitan area. Furthermore, civilian surveys indicated a 25% improvement in public trust regarding the ADF’s role in domestic security.</w:t>
      </w:r>
    </w:p>
    <w:p>
      <w:pPr>
        <w:pStyle w:val="BodyText"/>
      </w:pPr>
      <w:r>
        <w:t xml:space="preserve">Specifically regarding the</w:t>
      </w:r>
      <w:r>
        <w:t xml:space="preserve"> </w:t>
      </w:r>
      <w:r>
        <w:rPr>
          <w:bCs/>
          <w:b/>
        </w:rPr>
        <w:t xml:space="preserve">Military Officer</w:t>
      </w:r>
    </w:p>
    <w:bookmarkEnd w:id="24"/>
    <w:bookmarkStart w:id="25" w:name="challenges-encountered"/>
    <w:p>
      <w:pPr>
        <w:pStyle w:val="Heading2"/>
      </w:pPr>
      <w:r>
        <w:t xml:space="preserve">6. Challenges Encountered</w:t>
      </w:r>
    </w:p>
    <w:p>
      <w:pPr>
        <w:pStyle w:val="FirstParagraph"/>
      </w:pPr>
      <w:r>
        <w:t xml:space="preserve">No case study is complete without examining obstacles. Sterling faced bureaucratic hurdles common to large institutions like the ADF. Decisions often required multi-layered approvals, which slowed down rapid response capabilities in</w:t>
      </w:r>
      <w:r>
        <w:t xml:space="preserve"> </w:t>
      </w:r>
      <w:r>
        <w:rPr>
          <w:bCs/>
          <w:b/>
        </w:rPr>
        <w:t xml:space="preserve">Australia Melbourne</w:t>
      </w:r>
    </w:p>
    <w:p>
      <w:pPr>
        <w:pStyle w:val="BodyText"/>
      </w:pPr>
      <w:r>
        <w:t xml:space="preserve">Additionally, cultural friction occasionally arose between military personnel and civilian counterparts in Victoria. The formal hierarchy of a</w:t>
      </w:r>
      <w:r>
        <w:t xml:space="preserve"> </w:t>
      </w:r>
      <w:r>
        <w:rPr>
          <w:bCs/>
          <w:b/>
        </w:rPr>
        <w:t xml:space="preserve">Military Officer</w:t>
      </w:r>
    </w:p>
    <w:bookmarkEnd w:id="25"/>
    <w:bookmarkStart w:id="26" w:name="lessons-learned-for-future-operations"/>
    <w:p>
      <w:pPr>
        <w:pStyle w:val="Heading2"/>
      </w:pPr>
      <w:r>
        <w:t xml:space="preserve">7. Lessons Learned for Future Operations</w:t>
      </w:r>
    </w:p>
    <w:p>
      <w:pPr>
        <w:pStyle w:val="FirstParagraph"/>
      </w:pPr>
      <w:r>
        <w:t xml:space="preserve">This case study offers several key takeaways for other</w:t>
      </w:r>
      <w:r>
        <w:t xml:space="preserve"> </w:t>
      </w:r>
      <w:r>
        <w:rPr>
          <w:bCs/>
          <w:b/>
        </w:rPr>
        <w:t xml:space="preserve">Military Officer</w:t>
      </w:r>
      <w:r>
        <w:t xml:space="preserve">s operating in urban environments similar to</w:t>
      </w:r>
      <w:r>
        <w:t xml:space="preserve"> </w:t>
      </w:r>
      <w:r>
        <w:rPr>
          <w:bCs/>
          <w:b/>
        </w:rPr>
        <w:t xml:space="preserve">Australia Melbourne</w:t>
      </w:r>
      <w:r>
        <w:t xml:space="preserve">:</w:t>
      </w:r>
      <w:r>
        <w:br/>
      </w:r>
      <w:r>
        <w:br/>
      </w:r>
      <w:r>
        <w:rPr>
          <w:iCs/>
          <w:i/>
        </w:rPr>
        <w:t xml:space="preserve">a. Contextual Intelligence is Key:</w:t>
      </w:r>
      <w:r>
        <w:t xml:space="preserve"> </w:t>
      </w:r>
      <w:r>
        <w:t xml:space="preserve">Understanding the specific socio-political landscape of Melbourne was more important than tactical military skill alone.</w:t>
      </w:r>
      <w:r>
        <w:br/>
      </w:r>
      <w:r>
        <w:br/>
      </w:r>
      <w:r>
        <w:rPr>
          <w:iCs/>
          <w:i/>
        </w:rPr>
        <w:t xml:space="preserve">b. Agility Over Hierarchy:</w:t>
      </w:r>
      <w:r>
        <w:t xml:space="preserve"> </w:t>
      </w:r>
      <w:r>
        <w:t xml:space="preserve">To succeed in city-based operations,</w:t>
      </w:r>
      <w:r>
        <w:t xml:space="preserve"> </w:t>
      </w:r>
      <w:r>
        <w:rPr>
          <w:bCs/>
          <w:b/>
        </w:rPr>
        <w:t xml:space="preserve">Military Officer</w:t>
      </w:r>
      <w:r>
        <w:t xml:space="preserve">s must learn to adapt their command style to be more collaborative and less rigid when interacting with civilian authorities.</w:t>
      </w:r>
      <w:r>
        <w:br/>
      </w:r>
      <w:r>
        <w:br/>
      </w:r>
      <w:r>
        <w:rPr>
          <w:iCs/>
          <w:i/>
        </w:rPr>
        <w:t xml:space="preserve">c. Community as a Force Multiplier:</w:t>
      </w:r>
      <w:r>
        <w:t xml:space="preserve"> </w:t>
      </w:r>
      <w:r>
        <w:t xml:space="preserve">In</w:t>
      </w:r>
      <w:r>
        <w:t xml:space="preserve"> </w:t>
      </w:r>
      <w:r>
        <w:rPr>
          <w:bCs/>
          <w:b/>
        </w:rPr>
        <w:t xml:space="preserve">Australia Melbourne</w:t>
      </w:r>
    </w:p>
    <w:bookmarkEnd w:id="26"/>
    <w:bookmarkStart w:id="27" w:name="conclusion"/>
    <w:p>
      <w:pPr>
        <w:pStyle w:val="Heading2"/>
      </w:pPr>
      <w:r>
        <w:t xml:space="preserve">8. Conclusion</w:t>
      </w:r>
    </w:p>
    <w:p>
      <w:pPr>
        <w:pStyle w:val="FirstParagraph"/>
      </w:pPr>
      <w:r>
        <w:t xml:space="preserve">The career of Lieutenant Colonel James Sterling illustrates the evolving nature of the</w:t>
      </w:r>
      <w:r>
        <w:t xml:space="preserve"> </w:t>
      </w:r>
      <w:r>
        <w:rPr>
          <w:bCs/>
          <w:b/>
        </w:rPr>
        <w:t xml:space="preserve">Military Officer</w:t>
      </w:r>
    </w:p>
    <w:p>
      <w:pPr>
        <w:pStyle w:val="BodyText"/>
      </w:pPr>
      <w:r>
        <w:t xml:space="preserve">In conclusion, this document highlights that effective military service in modern contexts, particularly within a sophisticated urban center like</w:t>
      </w:r>
      <w:r>
        <w:t xml:space="preserve"> </w:t>
      </w:r>
      <w:r>
        <w:rPr>
          <w:bCs/>
          <w:b/>
        </w:rPr>
        <w:t xml:space="preserve">Australia Melbourne</w:t>
      </w:r>
      <w:r>
        <w:t xml:space="preserve">, requires a blend of strategic acumen, diplomatic skill, and deep community integration. The case demonstrates that when a</w:t>
      </w:r>
      <w:r>
        <w:t xml:space="preserve"> </w:t>
      </w:r>
      <w:r>
        <w:rPr>
          <w:bCs/>
          <w:b/>
        </w:rPr>
        <w:t xml:space="preserve">Military Officer</w:t>
      </w:r>
    </w:p>
    <w:p>
      <w:r>
        <w:pict>
          <v:rect style="width:0;height:1.5pt" o:hralign="center" o:hrstd="t" o:hr="t"/>
        </w:pict>
      </w:r>
    </w:p>
    <w:p>
      <w:pPr>
        <w:pStyle w:val="FirstParagraph"/>
      </w:pPr>
      <w:r>
        <w:rPr>
          <w:iCs/>
          <w:i/>
        </w:rPr>
        <w:t xml:space="preserve">Note: This document is for educational and illustrative purposes only. Names and specific operational details have been altered to protect sensitive information.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2026-07-29T06:11:36Z</dcterms:created>
  <dcterms:modified xsi:type="dcterms:W3CDTF">2026-07-29T06:11:36Z</dcterms:modified>
</cp:coreProperties>
</file>

<file path=docProps/custom.xml><?xml version="1.0" encoding="utf-8"?>
<Properties xmlns="http://schemas.openxmlformats.org/officeDocument/2006/custom-properties" xmlns:vt="http://schemas.openxmlformats.org/officeDocument/2006/docPropsVTypes"/>
</file>