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Modernization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Corps</w:t>
      </w:r>
      <w:r>
        <w:t xml:space="preserve"> </w:t>
      </w:r>
      <w:r>
        <w:t xml:space="preserve">in</w:t>
      </w:r>
      <w:r>
        <w:t xml:space="preserve"> </w:t>
      </w:r>
      <w:r>
        <w:t xml:space="preserve">Uzbekistan</w:t>
      </w:r>
      <w:r>
        <w:t xml:space="preserve"> </w:t>
      </w:r>
      <w:r>
        <w:t xml:space="preserve">Tashkent</w:t>
      </w:r>
    </w:p>
    <w:bookmarkStart w:id="30" w:name="X2c773cb40d8a40e6b09874ce042b7b6c3146b70"/>
    <w:p>
      <w:pPr>
        <w:pStyle w:val="Heading1"/>
      </w:pPr>
      <w:r>
        <w:t xml:space="preserve">Case Study: Strategic Modernization of the Military Officer Corps in Uzbekistan Tashkent</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Sector:</w:t>
      </w:r>
      <w:r>
        <w:t xml:space="preserve"> </w:t>
      </w:r>
      <w:r>
        <w:t xml:space="preserve">Defense &amp; Security Reform</w:t>
      </w:r>
    </w:p>
    <w:p>
      <w:pPr>
        <w:pStyle w:val="BodyText"/>
      </w:pPr>
      <w:r>
        <w:rPr>
          <w:iCs/>
          <w:i/>
        </w:rPr>
        <w:t xml:space="preserve">This document provides a comprehensive analysis of the structural and ideological transformation of the military officer corps within the Republic of Uzbekistan, with a specific focus on headquarters operations in Tashkent. It examines how historical legacies interact with modern geopolitical necessities.</w:t>
      </w:r>
    </w:p>
    <w:bookmarkStart w:id="20" w:name="introduction-and-context"/>
    <w:p>
      <w:pPr>
        <w:pStyle w:val="Heading2"/>
      </w:pPr>
      <w:r>
        <w:t xml:space="preserve">1. Introduction and Context</w:t>
      </w:r>
    </w:p>
    <w:p>
      <w:pPr>
        <w:pStyle w:val="FirstParagraph"/>
      </w:pPr>
      <w:r>
        <w:t xml:space="preserve">The Central Asian region has undergone significant geopolitical shifts over the past three decades, yet few nations have demonstrated as consistent a commitment to internal stability and external diplomacy as Uzbekistan. At the heart of this stability lies the nation’s defense apparatus, specifically the leadership cadre known as military officers. While much of Central Asia continues to grapple with post-Soviet institutional inertia, Uzbekistan has pursued a distinct path of modernization. This case study focuses on how Tashkent, as the capital and primary hub for strategic decision-making, serves as the epicenter for reforming its military officer corps.</w:t>
      </w:r>
    </w:p>
    <w:p>
      <w:pPr>
        <w:pStyle w:val="BodyText"/>
      </w:pPr>
      <w:r>
        <w:t xml:space="preserve">The transition from a purely Soviet-style hierarchy to a more professionalized, technologically integrated command structure required not just new equipment, but a fundamental shift in mindset. The "Military Officer" is no longer viewed solely as an enforcer of state will but as a strategic manager capable of navigating complex international partnerships and domestic security challenges.</w:t>
      </w:r>
    </w:p>
    <w:bookmarkEnd w:id="20"/>
    <w:bookmarkStart w:id="21" w:name="historical-background-the-soviet-legacy"/>
    <w:p>
      <w:pPr>
        <w:pStyle w:val="Heading2"/>
      </w:pPr>
      <w:r>
        <w:t xml:space="preserve">2. Historical Background: The Soviet Legacy</w:t>
      </w:r>
    </w:p>
    <w:p>
      <w:pPr>
        <w:pStyle w:val="FirstParagraph"/>
      </w:pPr>
      <w:r>
        <w:t xml:space="preserve">To understand the current state of the military officer corps in Uzbekistan Tashkent, one must first examine its historical roots. Upon gaining independence in 1991, Uzbekistan inherited a substantial defense infrastructure from the Soviet Union. However, this inheritance was fraught with issues: outdated doctrine, political indoctrination within ranks, and a lack of interoperability with Western standards.</w:t>
      </w:r>
    </w:p>
    <w:p>
      <w:pPr>
        <w:pStyle w:val="BodyText"/>
      </w:pPr>
      <w:r>
        <w:t xml:space="preserve">In the early years of independence under President Islam Karimov, the military was largely insulated from broader societal reforms. The officer corps remained heavily influenced by Soviet-era protocols. However, as regional threats evolved—ranging from terrorism spilling over from Afghanistan to cyber warfare capabilities—the limitations of this traditional model became apparent. Tashkent recognized that maintaining a standing army with obsolete leadership concepts was no longer viable for national security.</w:t>
      </w:r>
    </w:p>
    <w:bookmarkEnd w:id="21"/>
    <w:bookmarkStart w:id="24" w:name="the-pivot-reform-under-modern-leadership"/>
    <w:p>
      <w:pPr>
        <w:pStyle w:val="Heading2"/>
      </w:pPr>
      <w:r>
        <w:t xml:space="preserve">3. The Pivot: Reform Under Modern Leadership</w:t>
      </w:r>
    </w:p>
    <w:p>
      <w:pPr>
        <w:pStyle w:val="FirstParagraph"/>
      </w:pPr>
      <w:r>
        <w:t xml:space="preserve">The turning point in this case study occurred following the change in presidency in 2016. The new administration initiated a broad spectrum of reforms that extended deeply into the defense sector. For the military officer corps, this meant a move away from rigid conformity toward professional competence.</w:t>
      </w:r>
    </w:p>
    <w:bookmarkStart w:id="22" w:name="education-and-training-reforms"/>
    <w:p>
      <w:pPr>
        <w:pStyle w:val="Heading3"/>
      </w:pPr>
      <w:r>
        <w:t xml:space="preserve">3.1 Education and Training Reforms</w:t>
      </w:r>
    </w:p>
    <w:p>
      <w:pPr>
        <w:pStyle w:val="FirstParagraph"/>
      </w:pPr>
      <w:r>
        <w:t xml:space="preserve">A primary focus was placed on the educational pipeline. The Supreme Command School in Tashkent underwent significant curriculum overhauls. Gone were the days where theoretical Soviet doctrine dominated lectures without practical application. In its place emerged a blended learning environment that includes:</w:t>
      </w:r>
    </w:p>
    <w:p>
      <w:pPr>
        <w:numPr>
          <w:ilvl w:val="0"/>
          <w:numId w:val="1001"/>
        </w:numPr>
        <w:pStyle w:val="Compact"/>
      </w:pPr>
      <w:r>
        <w:rPr>
          <w:bCs/>
          <w:b/>
        </w:rPr>
        <w:t xml:space="preserve">Cyber Warfare Modules:</w:t>
      </w:r>
      <w:r>
        <w:t xml:space="preserve"> </w:t>
      </w:r>
      <w:r>
        <w:t xml:space="preserve">Recognizing that modern conflict begins in the digital realm.</w:t>
      </w:r>
    </w:p>
    <w:p>
      <w:pPr>
        <w:numPr>
          <w:ilvl w:val="0"/>
          <w:numId w:val="1001"/>
        </w:numPr>
        <w:pStyle w:val="Compact"/>
      </w:pPr>
      <w:r>
        <w:rPr>
          <w:bCs/>
          <w:b/>
        </w:rPr>
        <w:t xml:space="preserve">International Law and Human Rights:</w:t>
      </w:r>
    </w:p>
    <w:p>
      <w:pPr>
        <w:numPr>
          <w:ilvl w:val="0"/>
          <w:numId w:val="1001"/>
        </w:numPr>
        <w:pStyle w:val="Compact"/>
      </w:pPr>
      <w:r>
        <w:t xml:space="preserve">Languages and Diplomacy:Military officers are now required to engage more deeply with foreign counterparts, necessitating better language skills and cultural awareness.</w:t>
      </w:r>
    </w:p>
    <w:bookmarkEnd w:id="22"/>
    <w:bookmarkStart w:id="23" w:name="meritocracy-vs.-seniority"/>
    <w:p>
      <w:pPr>
        <w:pStyle w:val="Heading3"/>
      </w:pPr>
      <w:r>
        <w:t xml:space="preserve">3.2 Meritocracy vs. Seniority</w:t>
      </w:r>
    </w:p>
    <w:p>
      <w:pPr>
        <w:pStyle w:val="FirstParagraph"/>
      </w:pPr>
      <w:r>
        <w:t xml:space="preserve">In many post-Soviet structures, promotion was often based on seniority or political loyalty rather than merit. The reforms in Tashkent sought to dismantle this by introducing rigorous performance metrics for military officers. Promotions are now increasingly tied to demonstrated leadership capabilities, successful completion of joint exercises, and professional development achievements.</w:t>
      </w:r>
    </w:p>
    <w:bookmarkEnd w:id="23"/>
    <w:bookmarkEnd w:id="24"/>
    <w:bookmarkStart w:id="25" w:name="operational-context-the-role-of-tashkent"/>
    <w:p>
      <w:pPr>
        <w:pStyle w:val="Heading2"/>
      </w:pPr>
      <w:r>
        <w:t xml:space="preserve">4. Operational Context: The Role of Tashkent</w:t>
      </w:r>
    </w:p>
    <w:p>
      <w:pPr>
        <w:pStyle w:val="FirstParagraph"/>
      </w:pPr>
      <w:r>
        <w:t xml:space="preserve">Tashkent is not merely the administrative center; it is the strategic brain of Uzbekistan’s defense apparatus. As the location of the General Staff Headquarters, Tashkent plays a pivotal role in coordinating joint operations between land, air, and special forces. The concentration of military officers in this city allows for centralized command but also necessitates high levels of coordination.</w:t>
      </w:r>
    </w:p>
    <w:p>
      <w:pPr>
        <w:pStyle w:val="BodyText"/>
      </w:pPr>
      <w:r>
        <w:t xml:space="preserve">The urban landscape of Tashkent reflects its dual nature as a modernizing metropolis and a traditional hub. Military academies stand adjacent to universities fostering civil engineering and IT skills, symbolizing the integration of civilian technological expertise into military operations. This proximity facilitates knowledge transfer, allowing military officers to stay abreast of global technological trends.</w:t>
      </w:r>
    </w:p>
    <w:bookmarkEnd w:id="25"/>
    <w:bookmarkStart w:id="26" w:name="key-challenges-identified"/>
    <w:p>
      <w:pPr>
        <w:pStyle w:val="Heading2"/>
      </w:pPr>
      <w:r>
        <w:t xml:space="preserve">5. Key Challenges Identified</w:t>
      </w:r>
    </w:p>
    <w:p>
      <w:pPr>
        <w:pStyle w:val="FirstParagraph"/>
      </w:pPr>
      <w:r>
        <w:t xml:space="preserve">Despite significant progress, the modernization of the Military Officer corps in Uzbekistan Tashkent faces several hurdles:</w:t>
      </w:r>
    </w:p>
    <w:p>
      <w:pPr>
        <w:numPr>
          <w:ilvl w:val="0"/>
          <w:numId w:val="1002"/>
        </w:numPr>
        <w:pStyle w:val="Compact"/>
      </w:pPr>
      <w:r>
        <w:rPr>
          <w:bCs/>
          <w:b/>
        </w:rPr>
        <w:t xml:space="preserve">Cultural Resistance:</w:t>
      </w:r>
      <w:r>
        <w:t xml:space="preserve">N older generations of officers often resist changes that challenge long-held traditions. Bridging this generational divide remains a subtle but persistent challenge.</w:t>
      </w:r>
    </w:p>
    <w:p>
      <w:pPr>
        <w:numPr>
          <w:ilvl w:val="0"/>
          <w:numId w:val="1002"/>
        </w:numPr>
        <w:pStyle w:val="Compact"/>
      </w:pPr>
      <w:r>
        <w:rPr>
          <w:bCs/>
          <w:b/>
        </w:rPr>
        <w:t xml:space="preserve">Budgetary Constraints:</w:t>
      </w:r>
      <w:r>
        <w:t xml:space="preserve"> </w:t>
      </w:r>
      <w:r>
        <w:t xml:space="preserve">While defense spending has increased, the cost of modernizing training facilities and acquiring advanced simulation technology for officer education is high. Balancing fiscal responsibility with capability enhancement requires careful planning.</w:t>
      </w:r>
    </w:p>
    <w:p>
      <w:pPr>
        <w:numPr>
          <w:ilvl w:val="0"/>
          <w:numId w:val="1002"/>
        </w:numPr>
        <w:pStyle w:val="Compact"/>
      </w:pPr>
      <w:r>
        <w:t xml:space="preserve">Cybersecurity Threats:As the military becomes more digital, the risk of cyber attacks on command structures in Tashkent increases. Ensuring that officers are trained to protect critical infrastructure is an ongoing priority.</w:t>
      </w:r>
    </w:p>
    <w:bookmarkEnd w:id="26"/>
    <w:bookmarkStart w:id="27" w:name="X579b550e6d6d74603957abdf3a99a768b7c6576"/>
    <w:p>
      <w:pPr>
        <w:pStyle w:val="Heading2"/>
      </w:pPr>
      <w:r>
        <w:t xml:space="preserve">6. Strategic Partnerships and International Cooperation</w:t>
      </w:r>
    </w:p>
    <w:p>
      <w:pPr>
        <w:pStyle w:val="FirstParagraph"/>
      </w:pPr>
      <w:r>
        <w:t xml:space="preserve">A unique aspect of this case study is Uzbekistan’s approach to international engagement. Rather than aligning exclusively with one power block, Tashkent pursues a multi-vector defense policy. This allows military officers from Uzbekistan to participate in joint exercises with Russia, China, Turkey, and even Western nations through programs like the Partnership for Peace (PfP).</w:t>
      </w:r>
    </w:p>
    <w:p>
      <w:pPr>
        <w:pStyle w:val="BodyText"/>
      </w:pPr>
      <w:r>
        <w:t xml:space="preserve">These international exchanges are crucial for the professional development of military officers. Exposure to different tactical doctrines fosters adaptability and innovation. For instance, cooperation with Turkish forces has introduced new perspectives on drone warfare tactics, while joint sessions with Western partners have enhanced understanding of coalition operations.</w:t>
      </w:r>
    </w:p>
    <w:bookmarkEnd w:id="27"/>
    <w:bookmarkStart w:id="28" w:name="outcomes-and-impact"/>
    <w:p>
      <w:pPr>
        <w:pStyle w:val="Heading2"/>
      </w:pPr>
      <w:r>
        <w:t xml:space="preserve">7. Outcomes and Impact</w:t>
      </w:r>
    </w:p>
    <w:p>
      <w:pPr>
        <w:pStyle w:val="FirstParagraph"/>
      </w:pPr>
      <w:r>
        <w:t xml:space="preserve">The reforms implemented in Tashkent have yielded measurable outcomes:</w:t>
      </w:r>
    </w:p>
    <w:p>
      <w:pPr>
        <w:numPr>
          <w:ilvl w:val="0"/>
          <w:numId w:val="1003"/>
        </w:numPr>
        <w:pStyle w:val="Compact"/>
      </w:pPr>
      <w:r>
        <w:rPr>
          <w:bCs/>
          <w:b/>
        </w:rPr>
        <w:t xml:space="preserve">Enhanced Regional Stability:</w:t>
      </w:r>
      <w:r>
        <w:t xml:space="preserve">A more professional military officer corps contributes to a credible deterrent against external threats, stabilizing the Central Asian region.</w:t>
      </w:r>
    </w:p>
    <w:p>
      <w:pPr>
        <w:numPr>
          <w:ilvl w:val="0"/>
          <w:numId w:val="1003"/>
        </w:numPr>
        <w:pStyle w:val="Compact"/>
      </w:pPr>
      <w:r>
        <w:rPr>
          <w:bCs/>
          <w:b/>
        </w:rPr>
        <w:t xml:space="preserve">Increased Peacekeeping Capability:</w:t>
      </w:r>
      <w:r>
        <w:t xml:space="preserve">The Uzbek military has become more active in UN peacekeeping missions, reflecting its growing professionalism and adherence to international norms.</w:t>
      </w:r>
    </w:p>
    <w:p>
      <w:pPr>
        <w:numPr>
          <w:ilvl w:val="0"/>
          <w:numId w:val="1003"/>
        </w:numPr>
        <w:pStyle w:val="Compact"/>
      </w:pPr>
      <w:r>
        <w:rPr>
          <w:bCs/>
          <w:b/>
        </w:rPr>
        <w:t xml:space="preserve">Economic Integration:</w:t>
      </w:r>
      <w:r>
        <w:t xml:space="preserve">A stable security environment attracts foreign investment to Uzbekistan Tashkent, creating a positive feedback loop where economic growth supports further defense modernization.</w:t>
      </w:r>
    </w:p>
    <w:bookmarkEnd w:id="28"/>
    <w:bookmarkStart w:id="29" w:name="conclusion"/>
    <w:p>
      <w:pPr>
        <w:pStyle w:val="Heading2"/>
      </w:pPr>
      <w:r>
        <w:t xml:space="preserve">8. Conclusion</w:t>
      </w:r>
    </w:p>
    <w:p>
      <w:pPr>
        <w:pStyle w:val="FirstParagraph"/>
      </w:pPr>
      <w:r>
        <w:t xml:space="preserve">The transformation of the military officer corps in Uzbekistan Tashkent serves as a compelling case study in post-Soviet institutional reform. By balancing respect for historical traditions with the urgent needs of modern warfare, Uzbekistan has created a defense structure that is both robust and adaptable.</w:t>
      </w:r>
    </w:p>
    <w:p>
      <w:pPr>
        <w:pStyle w:val="BodyText"/>
      </w:pPr>
      <w:r>
        <w:t xml:space="preserve">The journey is far from over. The continuous evolution of global threats means that the military officer must remain a lifelong learner. However, the foundation laid in Tashkent provides a strong base for future advancements. As Uzbekistan continues to assert its role as a moderate and stable power in Central Asia, the professionalism of its military officers will remain one of its most critical assets.</w:t>
      </w:r>
    </w:p>
    <w:p>
      <w:pPr>
        <w:pStyle w:val="BodyText"/>
      </w:pPr>
      <w:r>
        <w:t xml:space="preserve">This case study underscores that modernization is not just about hardware; it is about people. By investing in the education, mindset, and capabilities of military officers, Uzbekistan Tashkent has secured a future where defense serves not only as a shield against aggression but also as a pillar of regional peace and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Modernization of the Military Officer Corps in Uzbekistan Tashkent</dc:title>
  <dc:creator/>
  <dc:language>en</dc:language>
  <cp:keywords/>
  <dcterms:created xsi:type="dcterms:W3CDTF">2026-07-29T12:46:06Z</dcterms:created>
  <dcterms:modified xsi:type="dcterms:W3CDTF">2026-07-29T12:46:06Z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