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w:t>
      </w:r>
      <w:r>
        <w:t xml:space="preserve"> </w:t>
      </w:r>
      <w:r>
        <w:t xml:space="preserve">Integration</w:t>
      </w:r>
      <w:r>
        <w:t xml:space="preserve"> </w:t>
      </w:r>
      <w:r>
        <w:t xml:space="preserve">for</w:t>
      </w:r>
      <w:r>
        <w:t xml:space="preserve"> </w:t>
      </w:r>
      <w:r>
        <w:t xml:space="preserve">an</w:t>
      </w:r>
      <w:r>
        <w:t xml:space="preserve"> </w:t>
      </w:r>
      <w:r>
        <w:t xml:space="preserve">Independent</w:t>
      </w:r>
      <w:r>
        <w:t xml:space="preserve"> </w:t>
      </w:r>
      <w:r>
        <w:t xml:space="preserve">Musician</w:t>
      </w:r>
      <w:r>
        <w:t xml:space="preserve"> </w:t>
      </w:r>
      <w:r>
        <w:t xml:space="preserve">in</w:t>
      </w:r>
      <w:r>
        <w:t xml:space="preserve"> </w:t>
      </w:r>
      <w:r>
        <w:t xml:space="preserve">Germany,</w:t>
      </w:r>
      <w:r>
        <w:t xml:space="preserve"> </w:t>
      </w:r>
      <w:r>
        <w:t xml:space="preserve">Frankfurt</w:t>
      </w:r>
    </w:p>
    <w:bookmarkStart w:id="32" w:name="X209f0eea28b5dd8b40c4664da6ccd128795bfa6"/>
    <w:p>
      <w:pPr>
        <w:pStyle w:val="Heading1"/>
      </w:pPr>
      <w:r>
        <w:t xml:space="preserve">Case Study: Strategic Market Integration for an Independent Musician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Arts Management Board</w:t>
      </w:r>
      <w:r>
        <w:br/>
      </w:r>
      <w:r>
        <w:rPr>
          <w:bCs/>
          <w:b/>
        </w:rPr>
        <w:t xml:space="preserve">From:</w:t>
      </w:r>
      <w:r>
        <w:t xml:space="preserve"> </w:t>
      </w:r>
      <w:r>
        <w:t xml:space="preserve">Strategic Planning Department</w:t>
      </w:r>
      <w:r>
        <w:br/>
      </w:r>
    </w:p>
    <w:p>
      <w:pPr>
        <w:pStyle w:val="BodyText"/>
      </w:pPr>
      <w:r>
        <w:br/>
      </w:r>
      <w:r>
        <w:t xml:space="preserve">An in-depth analysis of the challenges and opportunities faced by an emerging electronic music artist establishing a professional presence in one of Europe’s most competitive cultural hubs.</w:t>
      </w:r>
    </w:p>
    <w:bookmarkStart w:id="20" w:name="executive-summary"/>
    <w:p>
      <w:pPr>
        <w:pStyle w:val="Heading2"/>
      </w:pPr>
      <w:r>
        <w:t xml:space="preserve">1. Executive Summary</w:t>
      </w:r>
    </w:p>
    <w:p>
      <w:pPr>
        <w:pStyle w:val="FirstParagraph"/>
      </w:pPr>
      <w:r>
        <w:t xml:space="preserve">This Case Study examines the complex process of market entry for a solo Musician specializing in ambient techno and experimental electronic soundscapes. The primary focus is on navigating the specific regulatory, cultural, and logistical landscape of Germany, with a concentrated geographic strategy centered on Frankfurt am Main. Frankfurt presents a unique dichotomy: it is a global financial hub that often overlooks its vibrant underground music scene in favor of more tourist-centric cities like Berlin or Hamburg. This document outlines the strategic roadmap employed to bridge this gap, highlighting why Frankfurt is an essential but underrated territory for artistic growth and commercial viability.</w:t>
      </w:r>
    </w:p>
    <w:bookmarkEnd w:id="20"/>
    <w:bookmarkStart w:id="21" w:name="background-and-context"/>
    <w:p>
      <w:pPr>
        <w:pStyle w:val="Heading2"/>
      </w:pPr>
      <w:r>
        <w:t xml:space="preserve">2. Background and Context</w:t>
      </w:r>
    </w:p>
    <w:p>
      <w:pPr>
        <w:pStyle w:val="FirstParagraph"/>
      </w:pPr>
      <w:r>
        <w:t xml:space="preserve">The subject of this study, referred to herein as "Artist X," is an independent composer and producer based in Western Europe. While Artist X had achieved moderate success in local circuits, they sought to expand their footprint into the DACH region (Germany, Austria, Switzerland). The decision to target Germany was driven by its robust economy and high ticket-spending demographics. However, within Germany, Frankfurt was identified as the optimal launchpad due to its central transportation hub status (Frankfurt Airport) and dense population density.</w:t>
      </w:r>
    </w:p>
    <w:p>
      <w:pPr>
        <w:pStyle w:val="BodyText"/>
      </w:pPr>
      <w:r>
        <w:t xml:space="preserve">However, establishing a presence as a Musician in this region requires more than just musical talent; it demands an understanding of local union laws (GEMA), tax implications, and the specific taste profile of Frankfurt’s club culture. The city is known for its "High-Fashion" nightlife and sophisticated listener base, distinct from the gritty industrial aesthetic often associated with Berlin. Therefore, the branding strategy had to pivot towards elegance and sonic precision.</w:t>
      </w:r>
    </w:p>
    <w:bookmarkEnd w:id="21"/>
    <w:bookmarkStart w:id="22" w:name="challenges-faced"/>
    <w:p>
      <w:pPr>
        <w:pStyle w:val="Heading2"/>
      </w:pPr>
      <w:r>
        <w:t xml:space="preserve">3. Challenges Faced</w:t>
      </w:r>
    </w:p>
    <w:p>
      <w:pPr>
        <w:pStyle w:val="FirstParagraph"/>
      </w:pPr>
      <w:r>
        <w:t xml:space="preserve">The journey of introducing this Musician to the German market revealed several significant hurdles:</w:t>
      </w:r>
    </w:p>
    <w:p>
      <w:pPr>
        <w:numPr>
          <w:ilvl w:val="0"/>
          <w:numId w:val="1001"/>
        </w:numPr>
        <w:pStyle w:val="Compact"/>
      </w:pPr>
      <w:r>
        <w:rPr>
          <w:bCs/>
          <w:b/>
        </w:rPr>
        <w:t xml:space="preserve">Bureaucratic Complexity:</w:t>
      </w:r>
      <w:r>
        <w:t xml:space="preserve">Germany is renowned for its strict administrative procedures. For a foreign Musician, obtaining work permits, navigating visa requirements for touring musicians, and registering a business entity (Gewerbe) posed immediate legal challenges.</w:t>
      </w:r>
    </w:p>
    <w:p>
      <w:pPr>
        <w:numPr>
          <w:ilvl w:val="0"/>
          <w:numId w:val="1001"/>
        </w:numPr>
        <w:pStyle w:val="Compact"/>
      </w:pPr>
      <w:r>
        <w:rPr>
          <w:bCs/>
          <w:b/>
        </w:rPr>
        <w:t xml:space="preserve">Cultural Mismatch:</w:t>
      </w:r>
      <w:r>
        <w:t xml:space="preserve">Initial attempts to replicate marketing strategies used in London and New York failed. The Frankfurt audience values substance over flash. Promotional materials that were overly aggressive or visually chaotic were ignored by local club promoters.</w:t>
      </w:r>
    </w:p>
    <w:p>
      <w:pPr>
        <w:numPr>
          <w:ilvl w:val="0"/>
          <w:numId w:val="1001"/>
        </w:numPr>
        <w:pStyle w:val="Compact"/>
      </w:pPr>
      <w:r>
        <w:rPr>
          <w:bCs/>
          <w:b/>
        </w:rPr>
        <w:t xml:space="preserve">Royalty Management:</w:t>
      </w:r>
      <w:r>
        <w:t xml:space="preserve">Understanding GEMA (Gesellschaft für musikalische Aufführungs- und mechanische Vervielfältigungsrechte) was critical. Without proper registration, the Musician could not legally collect performance royalties for gigs played in Germany, leading to significant revenue leakage.</w:t>
      </w:r>
    </w:p>
    <w:p>
      <w:pPr>
        <w:numPr>
          <w:ilvl w:val="0"/>
          <w:numId w:val="1001"/>
        </w:numPr>
        <w:pStyle w:val="Compact"/>
      </w:pPr>
      <w:r>
        <w:rPr>
          <w:bCs/>
          <w:b/>
        </w:rPr>
        <w:t xml:space="preserve">Competition:</w:t>
      </w:r>
      <w:r>
        <w:t xml:space="preserve">Frankfurt hosts established venues like Batschka and Golden Pavilion. Breaking into these rooms required a unique value proposition that distinguished Artist X from local acts who already possessed deep community ties.</w:t>
      </w:r>
    </w:p>
    <w:bookmarkEnd w:id="22"/>
    <w:bookmarkStart w:id="27" w:name="strategic-implementation"/>
    <w:p>
      <w:pPr>
        <w:pStyle w:val="Heading2"/>
      </w:pPr>
      <w:r>
        <w:t xml:space="preserve">4. Strategic Implementation</w:t>
      </w:r>
    </w:p>
    <w:bookmarkStart w:id="23" w:name="a.-legal-and-administrative-foundation"/>
    <w:p>
      <w:pPr>
        <w:pStyle w:val="Heading3"/>
      </w:pPr>
      <w:r>
        <w:t xml:space="preserve">A. Legal and Administrative Foundation</w:t>
      </w:r>
    </w:p>
    <w:p>
      <w:pPr>
        <w:pStyle w:val="FirstParagraph"/>
      </w:pPr>
      <w:r>
        <w:t xml:space="preserve">The first step involved securing legal representation in Frankfurt specializing in arts law. This ensured that the Musician was registered correctly with the local trade office (Gewerbeamt) and that all necessary visa documentation for entry into Germany was processed well in advance of any planned tours. Establishing a German bank account was also prioritized to facilitate seamless transactions with local promoters.</w:t>
      </w:r>
    </w:p>
    <w:bookmarkEnd w:id="23"/>
    <w:bookmarkStart w:id="24" w:name="X04f53fb0a09364b494aebb97166486d9072062d"/>
    <w:p>
      <w:pPr>
        <w:pStyle w:val="Heading3"/>
      </w:pPr>
      <w:r>
        <w:t xml:space="preserve">B. GEMA Registration and Royalty Collection</w:t>
      </w:r>
    </w:p>
    <w:p>
      <w:pPr>
        <w:pStyle w:val="FirstParagraph"/>
      </w:pPr>
      <w:r>
        <w:t xml:space="preserve">A dedicated task force was assigned to register the Musician’s catalog with GEMA immediately upon arrival in Germany. This step is non-negotiable for any professional career within this region. Additionally, a publishing deal was negotiated to ensure that mechanical rights were protected across Europe.</w:t>
      </w:r>
    </w:p>
    <w:bookmarkEnd w:id="24"/>
    <w:bookmarkStart w:id="25" w:name="X35f95f21181be5e54a6e91e76f599171f82bb54"/>
    <w:p>
      <w:pPr>
        <w:pStyle w:val="Heading3"/>
      </w:pPr>
      <w:r>
        <w:t xml:space="preserve">C. Targeted Networking and Venue Selection</w:t>
      </w:r>
    </w:p>
    <w:p>
      <w:pPr>
        <w:pStyle w:val="FirstParagraph"/>
      </w:pPr>
      <w:r>
        <w:t xml:space="preserve">Rather than targeting large stadiums, the strategy focused on boutique venues and cultural institutions in Frankfurt known for curating high-quality electronic music. The Musician began with smaller residencies at clubs like Bahnhof Wien and later graduated to headline slots at Club Main Ufer. These venues are situated along the Main River, reflecting the city's modern aesthetic.</w:t>
      </w:r>
    </w:p>
    <w:p>
      <w:pPr>
        <w:pStyle w:val="BodyText"/>
      </w:pPr>
      <w:r>
        <w:t xml:space="preserve">Furthermore, partnerships were formed with Frankfurt’s contemporary art galleries. By performing sound installations in gallery spaces during opening nights, the Musician tapped into a cross-disciplinary audience that appreciated both visual and auditory artistry. This approach bypassed traditional gatekeepers and built credibility within the city’s elite cultural circle.</w:t>
      </w:r>
    </w:p>
    <w:bookmarkEnd w:id="25"/>
    <w:bookmarkStart w:id="26" w:name="d.-marketing-adaptation"/>
    <w:p>
      <w:pPr>
        <w:pStyle w:val="Heading3"/>
      </w:pPr>
      <w:r>
        <w:t xml:space="preserve">D. Marketing Adaptation</w:t>
      </w:r>
    </w:p>
    <w:p>
      <w:pPr>
        <w:pStyle w:val="FirstParagraph"/>
      </w:pPr>
      <w:r>
        <w:t xml:space="preserve">The marketing narrative was shifted to emphasize "Sonic Architecture" and "Germanic Precision," aligning with the local identity. Press releases were written in both English and German, acknowledging the importance of local language accessibility for mainstream media coverage in Frankfurt’s regional newspapers.</w:t>
      </w:r>
    </w:p>
    <w:bookmarkEnd w:id="26"/>
    <w:bookmarkEnd w:id="27"/>
    <w:bookmarkStart w:id="28" w:name="results-and-outcomes"/>
    <w:p>
      <w:pPr>
        <w:pStyle w:val="Heading2"/>
      </w:pPr>
      <w:r>
        <w:t xml:space="preserve">5. Results and Outcomes</w:t>
      </w:r>
    </w:p>
    <w:p>
      <w:pPr>
        <w:pStyle w:val="FirstParagraph"/>
      </w:pPr>
      <w:r>
        <w:t xml:space="preserve">Within twelve months of implementing this strategy, the Musician achieved significant milestones:</w:t>
      </w:r>
    </w:p>
    <w:p>
      <w:pPr>
        <w:numPr>
          <w:ilvl w:val="0"/>
          <w:numId w:val="1002"/>
        </w:numPr>
        <w:pStyle w:val="Compact"/>
      </w:pPr>
      <w:r>
        <w:rPr>
          <w:bCs/>
          <w:b/>
        </w:rPr>
        <w:t xml:space="preserve">Sold-Out Shows:</w:t>
      </w:r>
      <w:r>
        <w:t xml:space="preserve">The artist successfully sold out two consecutive nights at a prominent Frankfurt venue, demonstrating strong local demand.</w:t>
      </w:r>
    </w:p>
    <w:p>
      <w:pPr>
        <w:numPr>
          <w:ilvl w:val="0"/>
          <w:numId w:val="1002"/>
        </w:numPr>
        <w:pStyle w:val="Compact"/>
      </w:pPr>
      <w:r>
        <w:rPr>
          <w:bCs/>
          <w:b/>
        </w:rPr>
        <w:t xml:space="preserve">Royalty Revenue Increase:</w:t>
      </w:r>
      <w:r>
        <w:t xml:space="preserve">Collections from GEMA increased by 400% compared to the previous year, highlighting the financial impact of proper administrative compliance.</w:t>
      </w:r>
    </w:p>
    <w:p>
      <w:pPr>
        <w:numPr>
          <w:ilvl w:val="0"/>
          <w:numId w:val="1002"/>
        </w:numPr>
        <w:pStyle w:val="Compact"/>
      </w:pPr>
      <w:r>
        <w:rPr>
          <w:bCs/>
          <w:b/>
        </w:rPr>
        <w:t xml:space="preserve">Media Recognition:</w:t>
      </w:r>
      <w:r>
        <w:t xml:space="preserve">The artist was featured in "Frankfurter Allgemeine Zeitung," a major shift from niche blogs to mainstream recognition.</w:t>
      </w:r>
    </w:p>
    <w:p>
      <w:pPr>
        <w:numPr>
          <w:ilvl w:val="0"/>
          <w:numId w:val="1002"/>
        </w:numPr>
        <w:pStyle w:val="Compact"/>
      </w:pPr>
      <w:r>
        <w:rPr>
          <w:bCs/>
          <w:b/>
        </w:rPr>
        <w:t xml:space="preserve">Touring Opportunities:</w:t>
      </w:r>
      <w:r>
        <w:t xml:space="preserve">The success in Frankfurt served as a springboard for tours into Munich, Stuttgart, and Cologne, leveraging the city’s central location as a logistical hub.</w:t>
      </w:r>
    </w:p>
    <w:bookmarkEnd w:id="28"/>
    <w:bookmarkStart w:id="29" w:name="analysis-and-lessons-learned"/>
    <w:p>
      <w:pPr>
        <w:pStyle w:val="Heading2"/>
      </w:pPr>
      <w:r>
        <w:t xml:space="preserve">6. Analysis and Lessons Learned</w:t>
      </w:r>
    </w:p>
    <w:p>
      <w:pPr>
        <w:pStyle w:val="FirstParagraph"/>
      </w:pPr>
      <w:r>
        <w:t xml:space="preserve">This Case Study demonstrates that while Berlin often grabs the headlines for Germany’s music scene, Frankfurt offers a lucrative and sophisticated alternative for musicians willing to adapt. The key takeaway is the importance of localization. A Musician cannot simply import their brand; they must resonate with the specific cultural nuances of the host city.</w:t>
      </w:r>
    </w:p>
    <w:p>
      <w:pPr>
        <w:pStyle w:val="BodyText"/>
      </w:pPr>
      <w:r>
        <w:t xml:space="preserve">In Frankfurt, success is not just about loudness or trendiness; it is about quality, legality, and integration into the existing cultural fabric. The rigorous administrative environment in Germany acts as a filter, rewarding those who are professional and prepared.</w:t>
      </w:r>
    </w:p>
    <w:bookmarkEnd w:id="29"/>
    <w:bookmarkStart w:id="30" w:name="recommendations-for-future-artists"/>
    <w:p>
      <w:pPr>
        <w:pStyle w:val="Heading2"/>
      </w:pPr>
      <w:r>
        <w:t xml:space="preserve">7. Recommendations for Future Artists</w:t>
      </w:r>
    </w:p>
    <w:p>
      <w:pPr>
        <w:pStyle w:val="FirstParagraph"/>
      </w:pPr>
      <w:r>
        <w:t xml:space="preserve">For other artists considering similar expansion into Germany, particularly Frankfurt:</w:t>
      </w:r>
      <w:r>
        <w:t xml:space="preserve"> </w:t>
      </w:r>
      <w:r>
        <w:t xml:space="preserve">1. Hire local legal counsel early to navigate visa and tax laws.</w:t>
      </w:r>
      <w:r>
        <w:br/>
      </w:r>
      <w:r>
        <w:t xml:space="preserve">2. Register with GEMA immediately to protect revenue streams.</w:t>
      </w:r>
      <w:r>
        <w:br/>
      </w:r>
      <w:r>
        <w:t xml:space="preserve">3. Tailor your artistic presentation to match the sophisticated, high-end vibe of Frankfurt’s nightlife rather than relying on underground stereotypes.</w:t>
      </w:r>
      <w:r>
        <w:br/>
      </w:r>
      <w:r>
        <w:t xml:space="preserve">4. Leverage cross-industry collaborations, such as those with art galleries and design firms prevalent in the city.</w:t>
      </w:r>
    </w:p>
    <w:bookmarkEnd w:id="30"/>
    <w:bookmarkStart w:id="31" w:name="conclusion"/>
    <w:p>
      <w:pPr>
        <w:pStyle w:val="Heading2"/>
      </w:pPr>
      <w:r>
        <w:t xml:space="preserve">8. Conclusion</w:t>
      </w:r>
    </w:p>
    <w:p>
      <w:pPr>
        <w:pStyle w:val="FirstParagraph"/>
      </w:pPr>
      <w:r>
        <w:t xml:space="preserve">The integration of a Musician into the Frankfurt market is a complex undertaking that requires strategic patience and cultural sensitivity. By addressing bureaucratic hurdles head-on and aligning artistic output with local expectations, artists can unlock significant commercial potential in this economic powerhouse. This Case Study serves as a blueprint for transforming regional popularity into national success through targeted action in Germany’s most connected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 Integration for an Independent Musician in Germany, Frankfurt</dc:title>
  <dc:creator/>
  <dc:language>en</dc:language>
  <cp:keywords/>
  <dcterms:created xsi:type="dcterms:W3CDTF">2026-07-29T07:53:19Z</dcterms:created>
  <dcterms:modified xsi:type="dcterms:W3CDTF">2026-07-29T07:53:19Z</dcterms:modified>
</cp:coreProperties>
</file>

<file path=docProps/custom.xml><?xml version="1.0" encoding="utf-8"?>
<Properties xmlns="http://schemas.openxmlformats.org/officeDocument/2006/custom-properties" xmlns:vt="http://schemas.openxmlformats.org/officeDocument/2006/docPropsVTypes"/>
</file>