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Turkey,</w:t>
      </w:r>
      <w:r>
        <w:t xml:space="preserve"> </w:t>
      </w:r>
      <w:r>
        <w:t xml:space="preserve">Ankara</w:t>
      </w:r>
    </w:p>
    <w:bookmarkStart w:id="31" w:name="X681aa565652bc1aa735c81c0484f48fcde3b26f"/>
    <w:p>
      <w:pPr>
        <w:pStyle w:val="Heading1"/>
      </w:pPr>
      <w:r>
        <w:t xml:space="preserve">Sonic Resonance in the Capital: A Case Study of the Musician Landscape in Turkey, Ankara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Musician</w:t>
      </w:r>
      <w:r>
        <w:t xml:space="preserve"> </w:t>
      </w:r>
      <w:r>
        <w:t xml:space="preserve">Professional Development and Market Dynamics</w:t>
      </w:r>
      <w:r>
        <w:br/>
      </w:r>
      <w:r>
        <w:rPr>
          <w:bCs/>
          <w:b/>
        </w:rPr>
        <w:t xml:space="preserve">Location Focus:</w:t>
      </w:r>
      <w:r>
        <w:t xml:space="preserve"> </w:t>
      </w:r>
      <w:r>
        <w:t xml:space="preserve">Turkey, Ankara</w:t>
      </w:r>
      <w:r>
        <w:br/>
      </w:r>
      <w:r>
        <w:rPr>
          <w:bCs/>
          <w:b/>
        </w:rPr>
        <w:t xml:space="preserve">Type:</w:t>
      </w:r>
      <w:r>
        <w:t xml:space="preserve"> </w:t>
      </w:r>
      <w:r>
        <w:t xml:space="preserve">Case Study</w:t>
      </w:r>
      <w:r>
        <w:t xml:space="preserve"> </w:t>
      </w:r>
      <w:r>
        <w:t xml:space="preserve">on Cultural Economics and Artistic Viability</w:t>
      </w:r>
    </w:p>
    <w:bookmarkStart w:id="20" w:name="executive-summary"/>
    <w:p>
      <w:pPr>
        <w:pStyle w:val="Heading2"/>
      </w:pPr>
      <w:r>
        <w:t xml:space="preserve">1. Executive Summary</w:t>
      </w:r>
    </w:p>
    <w:p>
      <w:pPr>
        <w:pStyle w:val="FirstParagraph"/>
      </w:pPr>
      <w:r>
        <w:t xml:space="preserve">The contemporary artistic landscape of Turkey is undergoing a significant transformation, driven by digitalization, changing consumer behaviors, and a renewed interest in cultural heritage. Within this broader context, the capital city of Ankara presents a unique ecosystem for creative professionals. This Case Study examines the multifaceted role of the</w:t>
      </w:r>
      <w:r>
        <w:t xml:space="preserve"> </w:t>
      </w:r>
      <w:r>
        <w:t xml:space="preserve">Musician</w:t>
      </w:r>
      <w:r>
        <w:t xml:space="preserve"> </w:t>
      </w:r>
      <w:r>
        <w:t xml:space="preserve">within</w:t>
      </w:r>
      <w:r>
        <w:t xml:space="preserve"> </w:t>
      </w:r>
      <w:r>
        <w:t xml:space="preserve">Turkey, Ankara</w:t>
      </w:r>
      <w:r>
        <w:t xml:space="preserve">. It explores how local artists navigate the intersection of traditional Anatolian heritage and modern global trends, leveraging the specific infrastructural and cultural assets of Ankara to sustain their careers.</w:t>
      </w:r>
    </w:p>
    <w:bookmarkEnd w:id="20"/>
    <w:bookmarkStart w:id="21" w:name="X9bccbeb2f695d6c388c488b3a8b124dd998c631"/>
    <w:p>
      <w:pPr>
        <w:pStyle w:val="Heading2"/>
      </w:pPr>
      <w:r>
        <w:t xml:space="preserve">2. Introduction: The Context of Turkey, Ankara</w:t>
      </w:r>
    </w:p>
    <w:p>
      <w:pPr>
        <w:pStyle w:val="FirstParagraph"/>
      </w:pPr>
      <w:r>
        <w:t xml:space="preserve">Ankara, as the political and administrative heart of Turkey, possesses a distinct character compared to its more tourism-heavy counterpart, Istanbul. For the</w:t>
      </w:r>
      <w:r>
        <w:t xml:space="preserve"> </w:t>
      </w:r>
      <w:r>
        <w:t xml:space="preserve">Musician</w:t>
      </w:r>
      <w:r>
        <w:t xml:space="preserve">, Ankara offers a dense network of universities, state theaters, diplomatic missions, and government institutions that serve as both patrons and audiences. The city is not merely a transit point but a hub for serious artistic discourse.</w:t>
      </w:r>
    </w:p>
    <w:p>
      <w:pPr>
        <w:pStyle w:val="BodyText"/>
      </w:pPr>
      <w:r>
        <w:t xml:space="preserve">The cultural policy of</w:t>
      </w:r>
      <w:r>
        <w:t xml:space="preserve"> </w:t>
      </w:r>
      <w:r>
        <w:t xml:space="preserve">Turkey</w:t>
      </w:r>
      <w:r>
        <w:t xml:space="preserve"> </w:t>
      </w:r>
      <w:r>
        <w:t xml:space="preserve">has increasingly focused on the soft power potential of its arts sector. Ankara, being home to numerous foreign embassies and international organizations, provides the</w:t>
      </w:r>
      <w:r>
        <w:t xml:space="preserve"> </w:t>
      </w:r>
      <w:r>
        <w:t xml:space="preserve">Musician</w:t>
      </w:r>
      <w:r>
        <w:t xml:space="preserve"> </w:t>
      </w:r>
      <w:r>
        <w:t xml:space="preserve">with opportunities for cross-cultural collaboration that are less prevalent in other regions. This Case Study aims to dissect how these macro-level factors influence the micro-level decisions of individual artists regarding repertoire, performance venues, and revenue streams.</w:t>
      </w:r>
    </w:p>
    <w:bookmarkEnd w:id="21"/>
    <w:bookmarkStart w:id="22" w:name="historical-and-cultural-foundations"/>
    <w:p>
      <w:pPr>
        <w:pStyle w:val="Heading2"/>
      </w:pPr>
      <w:r>
        <w:t xml:space="preserve">3. Historical and Cultural Foundations</w:t>
      </w:r>
    </w:p>
    <w:p>
      <w:pPr>
        <w:pStyle w:val="FirstParagraph"/>
      </w:pPr>
      <w:r>
        <w:t xml:space="preserve">To understand the current state of the</w:t>
      </w:r>
      <w:r>
        <w:t xml:space="preserve"> </w:t>
      </w:r>
      <w:r>
        <w:t xml:space="preserve">Musician</w:t>
      </w:r>
      <w:r>
        <w:t xml:space="preserve"> </w:t>
      </w:r>
      <w:r>
        <w:t xml:space="preserve">in Ankara, one must acknowledge the deep roots of music in Turkish history. The city serves as a repository for Turkish classical music, folk traditions from Anatolia, and modern rock and pop genres. The presence of prestigious institutions such as the Hacettepe University State Conservatory ensures a steady influx of classically trained</w:t>
      </w:r>
      <w:r>
        <w:t xml:space="preserve"> </w:t>
      </w:r>
      <w:r>
        <w:t xml:space="preserve">Musician</w:t>
      </w:r>
      <w:r>
        <w:t xml:space="preserve">s who blend rigorous technical training with local cultural nuances.</w:t>
      </w:r>
    </w:p>
    <w:p>
      <w:pPr>
        <w:pStyle w:val="BodyText"/>
      </w:pPr>
      <w:r>
        <w:t xml:space="preserve">In Ankara, the traditional "Saz" (string instrument) culture coexists with electric guitars and digital synthesizers. This duality is characteristic of the modern Turkish artistic identity. The</w:t>
      </w:r>
      <w:r>
        <w:t xml:space="preserve"> </w:t>
      </w:r>
      <w:r>
        <w:t xml:space="preserve">Musician</w:t>
      </w:r>
      <w:r>
        <w:t xml:space="preserve"> </w:t>
      </w:r>
      <w:r>
        <w:t xml:space="preserve">in this region is often expected to be bilingual not just in languages, but in musical dialects—capable of performing a complex Ottoman Makam piece during a state reception and shifting seamlessly to contemporary indie rock for a club audience.</w:t>
      </w:r>
    </w:p>
    <w:bookmarkEnd w:id="22"/>
    <w:bookmarkStart w:id="25" w:name="economic-challenges-and-opportunities"/>
    <w:p>
      <w:pPr>
        <w:pStyle w:val="Heading2"/>
      </w:pPr>
      <w:r>
        <w:t xml:space="preserve">4. Economic Challenges and Opportunities</w:t>
      </w:r>
    </w:p>
    <w:p>
      <w:pPr>
        <w:pStyle w:val="FirstParagraph"/>
      </w:pPr>
      <w:r>
        <w:t xml:space="preserve">The economic volatility experienced by Turkey in recent years has profoundly impacted the arts sector. For the freelance</w:t>
      </w:r>
      <w:r>
        <w:t xml:space="preserve"> </w:t>
      </w:r>
      <w:r>
        <w:t xml:space="preserve">Musician</w:t>
      </w:r>
      <w:r>
        <w:t xml:space="preserve">, inflation and currency fluctuation pose significant challenges regarding equipment costs, which are often imported, and performance fees. However, this Case Study identifies several mitigating strategies adopted by successful artists in Ankara.</w:t>
      </w:r>
    </w:p>
    <w:bookmarkStart w:id="23" w:name="diversification-of-income-streams"/>
    <w:p>
      <w:pPr>
        <w:pStyle w:val="Heading3"/>
      </w:pPr>
      <w:r>
        <w:t xml:space="preserve">4.1 Diversification of Income Streams</w:t>
      </w:r>
    </w:p>
    <w:p>
      <w:pPr>
        <w:pStyle w:val="FirstParagraph"/>
      </w:pPr>
      <w:r>
        <w:t xml:space="preserve">The modern</w:t>
      </w:r>
      <w:r>
        <w:t xml:space="preserve"> </w:t>
      </w:r>
      <w:r>
        <w:t xml:space="preserve">Musician</w:t>
      </w:r>
      <w:r>
        <w:t xml:space="preserve"> </w:t>
      </w:r>
      <w:r>
        <w:t xml:space="preserve">in Turkey is rarely reliant on a single income source. In Ankara, it is common for artists to combine teaching at conservatories or private studios with public performances and digital content creation. The academic sector in Ankara is robust, providing stable employment for many classically trained</w:t>
      </w:r>
      <w:r>
        <w:t xml:space="preserve"> </w:t>
      </w:r>
      <w:r>
        <w:t xml:space="preserve">Musician</w:t>
      </w:r>
      <w:r>
        <w:t xml:space="preserve">s who supplement their income through gigs.</w:t>
      </w:r>
    </w:p>
    <w:bookmarkEnd w:id="23"/>
    <w:bookmarkStart w:id="24" w:name="institutional-funding-and-grants"/>
    <w:p>
      <w:pPr>
        <w:pStyle w:val="Heading3"/>
      </w:pPr>
      <w:r>
        <w:t xml:space="preserve">4.2 Institutional Funding and Grants</w:t>
      </w:r>
    </w:p>
    <w:p>
      <w:pPr>
        <w:pStyle w:val="FirstParagraph"/>
      </w:pPr>
      <w:r>
        <w:t xml:space="preserve">Ankara hosts various cultural foundations and state-funded initiatives designed to support the arts. The Case Study highlights that musicians who actively engage with these bureaucratic structures can secure grants for album production, international tours, or festival participation. Unlike smaller cities in Turkey, Ankara offers direct access to decision-makers and cultural attachés from embassies who frequently commission music for cultural exchange programs.</w:t>
      </w:r>
    </w:p>
    <w:bookmarkEnd w:id="24"/>
    <w:bookmarkEnd w:id="25"/>
    <w:bookmarkStart w:id="26" w:name="the-digital-transformation"/>
    <w:p>
      <w:pPr>
        <w:pStyle w:val="Heading2"/>
      </w:pPr>
      <w:r>
        <w:t xml:space="preserve">5. The Digital Transformation</w:t>
      </w:r>
    </w:p>
    <w:p>
      <w:pPr>
        <w:pStyle w:val="FirstParagraph"/>
      </w:pPr>
      <w:r>
        <w:t xml:space="preserve">The rise of streaming platforms and social media has democratized access to audiences for the Turkish</w:t>
      </w:r>
      <w:r>
        <w:t xml:space="preserve"> </w:t>
      </w:r>
      <w:r>
        <w:t xml:space="preserve">Musician</w:t>
      </w:r>
      <w:r>
        <w:t xml:space="preserve">. In Ankara, a vibrant community of producers and sound engineers supports independent artists in creating high-quality digital content. This Case Study notes a trend where local bands utilize platforms like Spotify and YouTube to reach not only domestic audiences but also the diaspora living abroad.</w:t>
      </w:r>
    </w:p>
    <w:p>
      <w:pPr>
        <w:pStyle w:val="BodyText"/>
      </w:pPr>
      <w:r>
        <w:t xml:space="preserve">Furthermore, virtual concerts have gained traction in Turkey. The pandemic accelerated this shift, and Ankara-based venues adapted by offering hybrid events. For the</w:t>
      </w:r>
      <w:r>
        <w:t xml:space="preserve"> </w:t>
      </w:r>
      <w:r>
        <w:t xml:space="preserve">Musician</w:t>
      </w:r>
      <w:r>
        <w:t xml:space="preserve">, this expanded their reach beyond the geographical limits of Turkey, allowing them to perform for global audiences without immediate travel costs.</w:t>
      </w:r>
    </w:p>
    <w:bookmarkEnd w:id="26"/>
    <w:bookmarkStart w:id="27" w:name="case-example-the-ankara-jazz-collective"/>
    <w:p>
      <w:pPr>
        <w:pStyle w:val="Heading2"/>
      </w:pPr>
      <w:r>
        <w:t xml:space="preserve">6. Case Example: The "Ankara Jazz Collective"</w:t>
      </w:r>
    </w:p>
    <w:p>
      <w:pPr>
        <w:pStyle w:val="FirstParagraph"/>
      </w:pPr>
      <w:r>
        <w:t xml:space="preserve">To illustrate these dynamics, this document presents a brief profile of a hypothetical but representative entity: the Ankara Jazz Collective. Formed by graduates of local conservatories, this group represents the fusion aspect of Turkish music.</w:t>
      </w:r>
    </w:p>
    <w:p>
      <w:pPr>
        <w:numPr>
          <w:ilvl w:val="0"/>
          <w:numId w:val="1001"/>
        </w:numPr>
        <w:pStyle w:val="Compact"/>
      </w:pPr>
      <w:r>
        <w:rPr>
          <w:bCs/>
          <w:b/>
        </w:rPr>
        <w:t xml:space="preserve">Venues:</w:t>
      </w:r>
      <w:r>
        <w:t xml:space="preserve"> </w:t>
      </w:r>
      <w:r>
        <w:t xml:space="preserve">They regularly perform at small jazz clubs in Çankaya and diplomatic quarters, catering to an international audience.</w:t>
      </w:r>
    </w:p>
    <w:p>
      <w:pPr>
        <w:numPr>
          <w:ilvl w:val="0"/>
          <w:numId w:val="1001"/>
        </w:numPr>
        <w:pStyle w:val="Compact"/>
      </w:pPr>
      <w:r>
        <w:rPr>
          <w:bCs/>
          <w:b/>
        </w:rPr>
        <w:t xml:space="preserve">Collaborations:</w:t>
      </w:r>
      <w:r>
        <w:t xml:space="preserve"> </w:t>
      </w:r>
      <w:r>
        <w:t xml:space="preserve">They have worked with traditional Sufi musicians, integrating ney and bendir into modern jazz arrangements.</w:t>
      </w:r>
    </w:p>
    <w:p>
      <w:pPr>
        <w:numPr>
          <w:ilvl w:val="0"/>
          <w:numId w:val="1001"/>
        </w:numPr>
        <w:pStyle w:val="Compact"/>
      </w:pPr>
      <w:r>
        <w:rPr>
          <w:bCs/>
          <w:b/>
        </w:rPr>
        <w:t xml:space="preserve">Economic Model:</w:t>
      </w:r>
      <w:r>
        <w:t xml:space="preserve"> </w:t>
      </w:r>
      <w:r>
        <w:t xml:space="preserve">Their revenue is split between ticket sales at local venues, royalties from streaming, and commissions for wedding ceremonies (a lucrative market in Turkey).</w:t>
      </w:r>
    </w:p>
    <w:p>
      <w:pPr>
        <w:pStyle w:val="FirstParagraph"/>
      </w:pPr>
      <w:r>
        <w:t xml:space="preserve">This example demonstrates the adaptability required of the contemporary</w:t>
      </w:r>
      <w:r>
        <w:t xml:space="preserve"> </w:t>
      </w:r>
      <w:r>
        <w:t xml:space="preserve">Musician</w:t>
      </w:r>
      <w:r>
        <w:t xml:space="preserve">. By bridging the gap between high-art jazz and accessible cultural performances, they have secured a sustainable niche in Ankara’s economy.</w:t>
      </w:r>
    </w:p>
    <w:bookmarkEnd w:id="27"/>
    <w:bookmarkStart w:id="28" w:name="challenges-facing-the-sector"/>
    <w:p>
      <w:pPr>
        <w:pStyle w:val="Heading2"/>
      </w:pPr>
      <w:r>
        <w:t xml:space="preserve">7. Challenges Facing the Sector</w:t>
      </w:r>
    </w:p>
    <w:p>
      <w:pPr>
        <w:pStyle w:val="FirstParagraph"/>
      </w:pPr>
      <w:r>
        <w:t xml:space="preserve">Despite the opportunities, significant hurdles remain. Censorship and regulatory pressures can affect lyrical content and public assembly for concerts. The</w:t>
      </w:r>
      <w:r>
        <w:t xml:space="preserve"> </w:t>
      </w:r>
      <w:r>
        <w:t xml:space="preserve">Musician</w:t>
      </w:r>
      <w:r>
        <w:t xml:space="preserve"> </w:t>
      </w:r>
      <w:r>
        <w:t xml:space="preserve">must navigate these regulations carefully while maintaining artistic integrity. Additionally, competition from Istanbul’s established music industry can sometimes overshadow Ankara-based talent, requiring artists to work harder to gain national visibility.</w:t>
      </w:r>
    </w:p>
    <w:p>
      <w:pPr>
        <w:pStyle w:val="BodyText"/>
      </w:pPr>
      <w:r>
        <w:t xml:space="preserve">Infrastructure issues also persist; while Ankara has excellent venues for classical music, there is a shortage of mid-sized rehearsal spaces and affordable live houses compared to Istanbul. This limits the ability of emerging bands in Turkey’s capital to practice and test new material regularly.</w:t>
      </w:r>
    </w:p>
    <w:bookmarkEnd w:id="28"/>
    <w:bookmarkStart w:id="29" w:name="strategic-recommendations"/>
    <w:p>
      <w:pPr>
        <w:pStyle w:val="Heading2"/>
      </w:pPr>
      <w:r>
        <w:t xml:space="preserve">8. Strategic Recommendations</w:t>
      </w:r>
    </w:p>
    <w:p>
      <w:pPr>
        <w:pStyle w:val="FirstParagraph"/>
      </w:pPr>
      <w:r>
        <w:t xml:space="preserve">Based on the findings of this Case Study, several recommendations are proposed for stakeholders in Turkey, Ankara:</w:t>
      </w:r>
    </w:p>
    <w:p>
      <w:pPr>
        <w:numPr>
          <w:ilvl w:val="0"/>
          <w:numId w:val="1002"/>
        </w:numPr>
        <w:pStyle w:val="Compact"/>
      </w:pPr>
      <w:r>
        <w:rPr>
          <w:bCs/>
          <w:b/>
        </w:rPr>
        <w:t xml:space="preserve">Mental Health Support:</w:t>
      </w:r>
      <w:r>
        <w:t xml:space="preserve">The unpredictable nature of freelance work necessitates better mental health resources for the local</w:t>
      </w:r>
      <w:r>
        <w:t xml:space="preserve"> </w:t>
      </w:r>
      <w:r>
        <w:t xml:space="preserve">Musician</w:t>
      </w:r>
      <w:r>
        <w:t xml:space="preserve"> </w:t>
      </w:r>
      <w:r>
        <w:t xml:space="preserve">community.</w:t>
      </w:r>
    </w:p>
    <w:p>
      <w:pPr>
        <w:numPr>
          <w:ilvl w:val="0"/>
          <w:numId w:val="1002"/>
        </w:numPr>
        <w:pStyle w:val="Compact"/>
      </w:pPr>
      <w:r>
        <w:rPr>
          <w:bCs/>
          <w:b/>
        </w:rPr>
        <w:t xml:space="preserve">Tech Integration:</w:t>
      </w:r>
      <w:r>
        <w:t xml:space="preserve">Governance bodies in Ankara should invest in high-speed internet and digital archiving for traditional Turkish music to aid educational efforts.</w:t>
      </w:r>
    </w:p>
    <w:p>
      <w:pPr>
        <w:numPr>
          <w:ilvl w:val="0"/>
          <w:numId w:val="1002"/>
        </w:numPr>
        <w:pStyle w:val="Compact"/>
      </w:pPr>
      <w:r>
        <w:rPr>
          <w:bCs/>
          <w:b/>
        </w:rPr>
        <w:t xml:space="preserve">International Partnerships:</w:t>
      </w:r>
      <w:r>
        <w:t xml:space="preserve">Leveraging Ankara’s diplomatic status, more joint productions with European and Asian artists should be encouraged to boost cultural tourism and artistic exchange.</w:t>
      </w:r>
    </w:p>
    <w:bookmarkEnd w:id="29"/>
    <w:bookmarkStart w:id="30" w:name="conclusion"/>
    <w:p>
      <w:pPr>
        <w:pStyle w:val="Heading2"/>
      </w:pPr>
      <w:r>
        <w:t xml:space="preserve">9. Conclusion</w:t>
      </w:r>
    </w:p>
    <w:p>
      <w:pPr>
        <w:pStyle w:val="FirstParagraph"/>
      </w:pPr>
      <w:r>
        <w:t xml:space="preserve">The role of the</w:t>
      </w:r>
      <w:r>
        <w:t xml:space="preserve"> </w:t>
      </w:r>
      <w:r>
        <w:t xml:space="preserve">Musician</w:t>
      </w:r>
      <w:r>
        <w:t xml:space="preserve"> </w:t>
      </w:r>
      <w:r>
        <w:t xml:space="preserve">in Turkey is evolving rapidly, shaped by both global trends and local realities. In Ankara, this evolution is characterized by a blend of academic rigor, diplomatic engagement, and entrepreneurial spirit. While economic challenges are significant, the resilience of Turkish artists has led to innovative solutions regarding income generation and audience engagement.</w:t>
      </w:r>
    </w:p>
    <w:p>
      <w:pPr>
        <w:pStyle w:val="BodyText"/>
      </w:pPr>
      <w:r>
        <w:t xml:space="preserve">Ankara remains a critical center for musical development in Turkey. It provides a unique laboratory where tradition meets modernity. For policy makers and cultural investors, understanding the specific needs of the</w:t>
      </w:r>
      <w:r>
        <w:t xml:space="preserve"> </w:t>
      </w:r>
      <w:r>
        <w:t xml:space="preserve">Musician</w:t>
      </w:r>
      <w:r>
        <w:t xml:space="preserve"> </w:t>
      </w:r>
      <w:r>
        <w:t xml:space="preserve">in this capital city is essential for fostering a vibrant, sustainable cultural sector. The future of music in Turkey depends on supporting these artists as they continue to define the nation’s sonic identity on both regional and global stages.</w:t>
      </w:r>
    </w:p>
    <w:p>
      <w:pPr>
        <w:pStyle w:val="BodyText"/>
      </w:pPr>
      <w:r>
        <w:rPr>
          <w:iCs/>
          <w:i/>
        </w:rPr>
        <w:t xml:space="preserve">This Case Study was prepared to highlight the strategic importance of supporting local talent in Turkey, Ankara, ensuring that the next generation of Musicians can thrive amidst changing cultural and economic landscapes.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Musician in Turkey, Ankara</dc:title>
  <dc:creator/>
  <dc:language>en</dc:language>
  <cp:keywords/>
  <dcterms:created xsi:type="dcterms:W3CDTF">2026-07-29T19:46:47Z</dcterms:created>
  <dcterms:modified xsi:type="dcterms:W3CDTF">2026-07-29T19:46:47Z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