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Urban</w:t>
      </w:r>
      <w:r>
        <w:t xml:space="preserve"> </w:t>
      </w:r>
      <w:r>
        <w:t xml:space="preserve">Rehabilitation</w:t>
      </w:r>
      <w:r>
        <w:t xml:space="preserve"> </w:t>
      </w:r>
      <w:r>
        <w:t xml:space="preserve">–</w:t>
      </w:r>
      <w:r>
        <w:t xml:space="preserve"> </w:t>
      </w:r>
      <w:r>
        <w:t xml:space="preserve">A</w:t>
      </w:r>
      <w:r>
        <w:t xml:space="preserve"> </w:t>
      </w:r>
      <w:r>
        <w:t xml:space="preserve">Focus</w:t>
      </w:r>
      <w:r>
        <w:t xml:space="preserve"> </w:t>
      </w:r>
      <w:r>
        <w:t xml:space="preserve">on</w:t>
      </w:r>
      <w:r>
        <w:t xml:space="preserve"> </w:t>
      </w:r>
      <w:r>
        <w:t xml:space="preserve">India</w:t>
      </w:r>
      <w:r>
        <w:t xml:space="preserve"> </w:t>
      </w:r>
      <w:r>
        <w:t xml:space="preserve">Mumbai</w:t>
      </w:r>
    </w:p>
    <w:bookmarkStart w:id="32" w:name="Xdcd6a22499d352a963711d6b3af6e8a7ba9bd1c"/>
    <w:p>
      <w:pPr>
        <w:pStyle w:val="Heading1"/>
      </w:pPr>
      <w:r>
        <w:t xml:space="preserve">Case Study: Integrating Occupational Therapy into the Healthcare Landscape of India Mumbai</w:t>
      </w:r>
    </w:p>
    <w:p>
      <w:pPr>
        <w:pStyle w:val="FirstParagraph"/>
      </w:pPr>
      <w:r>
        <w:rPr>
          <w:bCs/>
          <w:b/>
        </w:rPr>
        <w:t xml:space="preserve">Date:</w:t>
      </w:r>
      <w:r>
        <w:t xml:space="preserve"> </w:t>
      </w:r>
      <w:r>
        <w:t xml:space="preserve">October 24, 2023</w:t>
      </w:r>
      <w:r>
        <w:br/>
      </w:r>
      <w:r>
        <w:rPr>
          <w:bCs/>
          <w:b/>
        </w:rPr>
        <w:t xml:space="preserve">Patient ID:</w:t>
      </w:r>
      <w:r>
        <w:t xml:space="preserve"> </w:t>
      </w:r>
      <w:r>
        <w:t xml:space="preserve">OM-2023-459</w:t>
      </w:r>
      <w:r>
        <w:br/>
      </w:r>
      <w:r>
        <w:rPr>
          <w:bCs/>
          <w:b/>
        </w:rPr>
        <w:t xml:space="preserve">Location:</w:t>
      </w:r>
      <w:r>
        <w:t xml:space="preserve"> </w:t>
      </w:r>
      <w:r>
        <w:t xml:space="preserve">India Mumbai</w:t>
      </w:r>
      <w:r>
        <w:br/>
      </w:r>
    </w:p>
    <w:p>
      <w:pPr>
        <w:pStyle w:val="BodyText"/>
      </w:pPr>
      <w:r>
        <w:t xml:space="preserve">Clinician Role:Senior Occupational Therapist (OT)</w:t>
      </w:r>
      <w:r>
        <w:br/>
      </w:r>
    </w:p>
    <w:bookmarkStart w:id="20" w:name="introduction-and-context"/>
    <w:p>
      <w:pPr>
        <w:pStyle w:val="Heading2"/>
      </w:pPr>
      <w:r>
        <w:t xml:space="preserve">1. Introduction and Context</w:t>
      </w:r>
    </w:p>
    <w:p>
      <w:pPr>
        <w:pStyle w:val="FirstParagraph"/>
      </w:pPr>
      <w:r>
        <w:t xml:space="preserve">The healthcare landscape in developing urban centers is undergoing a profound transformation. Nowhere is this more evident than in the bustling metropolis of Mumbai, India. As one of the most densely populated cities in the world, Mumbai presents unique challenges regarding public health, infrastructure accessibility, and lifestyle-related disorders. In this complex environment, the role of an</w:t>
      </w:r>
      <w:r>
        <w:t xml:space="preserve"> </w:t>
      </w:r>
      <w:r>
        <w:rPr>
          <w:bCs/>
          <w:b/>
        </w:rPr>
        <w:t xml:space="preserve">Occupational Therapist</w:t>
      </w:r>
      <w:r>
        <w:t xml:space="preserve"> </w:t>
      </w:r>
      <w:r>
        <w:t xml:space="preserve">has evolved from a niche rehabilitation service to a critical component of holistic urban healthcare.</w:t>
      </w:r>
    </w:p>
    <w:p>
      <w:pPr>
        <w:pStyle w:val="BodyText"/>
      </w:pPr>
      <w:r>
        <w:t xml:space="preserve">This case study examines the intervention strategies employed by an</w:t>
      </w:r>
      <w:r>
        <w:t xml:space="preserve"> </w:t>
      </w:r>
      <w:r>
        <w:rPr>
          <w:bCs/>
          <w:b/>
        </w:rPr>
        <w:t xml:space="preserve">Occupational Therapist</w:t>
      </w:r>
      <w:r>
        <w:t xml:space="preserve"> </w:t>
      </w:r>
      <w:r>
        <w:t xml:space="preserve">working within the private sector in Mumbai. The primary objective is to illustrate how occupational therapy addresses not only physical disabilities but also psychosocial and environmental barriers specific to life in India Mumbai. By focusing on the intersection of clinical practice and urban adaptation, we can better understand the necessity of tailored therapeutic approaches for residents facing chronic illness, stroke recovery, or developmental delays.</w:t>
      </w:r>
    </w:p>
    <w:bookmarkEnd w:id="20"/>
    <w:bookmarkStart w:id="21" w:name="patient-profile"/>
    <w:p>
      <w:pPr>
        <w:pStyle w:val="Heading2"/>
      </w:pPr>
      <w:r>
        <w:t xml:space="preserve">2. Patient Profile</w:t>
      </w:r>
    </w:p>
    <w:p>
      <w:pPr>
        <w:pStyle w:val="FirstParagraph"/>
      </w:pPr>
      <w:r>
        <w:t xml:space="preserve">The subject of this case study is Mr. Arjun Mehta a 45-year-old male software engineer residing in South Mumbai. Mr. Mehta suffered a moderate ischemic stroke six months prior to admission, resulting in right-sided hemiparesis (weakness) and significant executive dysfunction that affected his ability to perform Activities of Daily Living (ADLs). As a high-functioning professional accustomed to rapid decision-making and intense work schedules, the stroke posed not just a physical challenge but a severe psychological blow to his identity and independence.</w:t>
      </w:r>
    </w:p>
    <w:p>
      <w:pPr>
        <w:pStyle w:val="BodyText"/>
      </w:pPr>
      <w:r>
        <w:t xml:space="preserve">Mr. Mehta lives in a third-floor apartment without an elevator, sharing the living space with his wife and elderly mother. This structural reality in older Mumbai buildings is common but poses significant accessibility issues for anyone with mobility impairments. Furthermore, the cultural expectation for male breadwinners to maintain professional duties added pressure to recover quickly, often leading to non-compliance with rest protocols.</w:t>
      </w:r>
    </w:p>
    <w:bookmarkEnd w:id="21"/>
    <w:bookmarkStart w:id="23" w:name="assessment-and-clinical-reasoning"/>
    <w:p>
      <w:pPr>
        <w:pStyle w:val="Heading2"/>
      </w:pPr>
      <w:r>
        <w:t xml:space="preserve">3. Assessment and Clinical Reasoning</w:t>
      </w:r>
    </w:p>
    <w:p>
      <w:pPr>
        <w:pStyle w:val="FirstParagraph"/>
      </w:pPr>
      <w:r>
        <w:t xml:space="preserve">Upon initial consultation, the</w:t>
      </w:r>
      <w:r>
        <w:t xml:space="preserve"> </w:t>
      </w:r>
      <w:r>
        <w:rPr>
          <w:bCs/>
          <w:b/>
        </w:rPr>
        <w:t xml:space="preserve">Occupational Therapist</w:t>
      </w:r>
    </w:p>
    <w:bookmarkStart w:id="22" w:name="key-findings"/>
    <w:p>
      <w:pPr>
        <w:pStyle w:val="Heading3"/>
      </w:pPr>
      <w:r>
        <w:t xml:space="preserve">Key Findings:</w:t>
      </w:r>
    </w:p>
    <w:p>
      <w:pPr>
        <w:numPr>
          <w:ilvl w:val="0"/>
          <w:numId w:val="1001"/>
        </w:numPr>
        <w:pStyle w:val="Compact"/>
      </w:pPr>
      <w:r>
        <w:rPr>
          <w:bCs/>
          <w:b/>
        </w:rPr>
        <w:t xml:space="preserve">Motor Deficits:</w:t>
      </w:r>
      <w:r>
        <w:t xml:space="preserve"> </w:t>
      </w:r>
      <w:r>
        <w:t xml:space="preserve">Limited range of motion in the right shoulder and decreased grip strength in the right hand.</w:t>
      </w:r>
    </w:p>
    <w:p>
      <w:pPr>
        <w:numPr>
          <w:ilvl w:val="0"/>
          <w:numId w:val="1001"/>
        </w:numPr>
        <w:pStyle w:val="Compact"/>
      </w:pPr>
      <w:r>
        <w:rPr>
          <w:bCs/>
          <w:b/>
        </w:rPr>
        <w:t xml:space="preserve">Cognitive Challenges:</w:t>
      </w:r>
      <w:r>
        <w:t xml:space="preserve"> </w:t>
      </w:r>
      <w:r>
        <w:t xml:space="preserve">Difficulty prioritizing tasks, poor time management, and reduced attention span due to post-stroke fatigue.</w:t>
      </w:r>
    </w:p>
    <w:p>
      <w:pPr>
        <w:numPr>
          <w:ilvl w:val="0"/>
          <w:numId w:val="1001"/>
        </w:numPr>
        <w:pStyle w:val="Compact"/>
      </w:pPr>
      <w:r>
        <w:rPr>
          <w:bCs/>
          <w:b/>
        </w:rPr>
        <w:t xml:space="preserve">Environmental Barriers:</w:t>
      </w:r>
      <w:r>
        <w:t xml:space="preserve"> </w:t>
      </w:r>
      <w:r>
        <w:t xml:space="preserve">The lack of an elevator in his building meant that climbing three flights of stairs was currently impossible. Additionally, the kitchen layout required excessive reaching and bending.</w:t>
      </w:r>
    </w:p>
    <w:p>
      <w:pPr>
        <w:numPr>
          <w:ilvl w:val="0"/>
          <w:numId w:val="1001"/>
        </w:numPr>
        <w:pStyle w:val="Compact"/>
      </w:pPr>
      <w:r>
        <w:rPr>
          <w:bCs/>
          <w:b/>
        </w:rPr>
        <w:t xml:space="preserve">Social Factors:</w:t>
      </w:r>
      <w:r>
        <w:t xml:space="preserve"> </w:t>
      </w:r>
      <w:r>
        <w:t xml:space="preserve">High stress levels due to workplace reintegration anxiety and cultural pressures regarding self-sufficiency.</w:t>
      </w:r>
    </w:p>
    <w:p>
      <w:pPr>
        <w:pStyle w:val="FirstParagraph"/>
      </w:pPr>
      <w:r>
        <w:t xml:space="preserve">The</w:t>
      </w:r>
      <w:r>
        <w:t xml:space="preserve"> </w:t>
      </w:r>
      <w:r>
        <w:rPr>
          <w:bCs/>
          <w:b/>
        </w:rPr>
        <w:t xml:space="preserve">Ocupational Therapist</w:t>
      </w:r>
    </w:p>
    <w:bookmarkEnd w:id="22"/>
    <w:bookmarkEnd w:id="23"/>
    <w:bookmarkStart w:id="28" w:name="intervention-strategy"/>
    <w:p>
      <w:pPr>
        <w:pStyle w:val="Heading2"/>
      </w:pPr>
      <w:r>
        <w:t xml:space="preserve">4. Intervention Strategy</w:t>
      </w:r>
    </w:p>
    <w:p>
      <w:pPr>
        <w:pStyle w:val="FirstParagraph"/>
      </w:pPr>
      <w:r>
        <w:t xml:space="preserve">The rehabilitation plan was designed with the specific context of living in India Mumbai in mind. It was divided into four interconnected phases:</w:t>
      </w:r>
    </w:p>
    <w:bookmarkStart w:id="24" w:name="Xbd6a1d37791c34b28883719a545879e1b68e410"/>
    <w:p>
      <w:pPr>
        <w:pStyle w:val="Heading3"/>
      </w:pPr>
      <w:r>
        <w:t xml:space="preserve">A. Home Modification and Environmental Adaptation</w:t>
      </w:r>
    </w:p>
    <w:p>
      <w:pPr>
        <w:pStyle w:val="FirstParagraph"/>
      </w:pPr>
      <w:r>
        <w:t xml:space="preserve">In a city where housing is expensive and structural changes are difficult, the</w:t>
      </w:r>
      <w:r>
        <w:t xml:space="preserve"> </w:t>
      </w:r>
      <w:r>
        <w:rPr>
          <w:bCs/>
          <w:b/>
        </w:rPr>
        <w:t xml:space="preserve">Occupational Therapist</w:t>
      </w:r>
    </w:p>
    <w:bookmarkEnd w:id="24"/>
    <w:bookmarkStart w:id="25" w:name="Xee929dedeac908e5a55be46cf90eb4685c11aab"/>
    <w:p>
      <w:pPr>
        <w:pStyle w:val="Heading3"/>
      </w:pPr>
      <w:r>
        <w:t xml:space="preserve">B. Energy Conservation and Task Simplification</w:t>
      </w:r>
    </w:p>
    <w:p>
      <w:pPr>
        <w:pStyle w:val="FirstParagraph"/>
      </w:pPr>
      <w:r>
        <w:t xml:space="preserve">To combat post-stroke fatigue, Mr. Mehta was taught energy conservation techniques. This involved breaking down complex tasks, such as dressing or cooking simple meals, into smaller steps. The therapist utilized visual aids and smartphone reminders to assist with executive function deficits, helping him manage his medication and appointments without relying solely on his wife.</w:t>
      </w:r>
    </w:p>
    <w:bookmarkEnd w:id="25"/>
    <w:bookmarkStart w:id="26" w:name="Xb5349a5d2ce0db8c5b4f1dbde204bd1b0715c72"/>
    <w:p>
      <w:pPr>
        <w:pStyle w:val="Heading3"/>
      </w:pPr>
      <w:r>
        <w:t xml:space="preserve">C. Work Hardening and Vocational Rehabilitation</w:t>
      </w:r>
    </w:p>
    <w:p>
      <w:pPr>
        <w:pStyle w:val="FirstParagraph"/>
      </w:pPr>
      <w:r>
        <w:t xml:space="preserve">Recognizing the competitive job market in Mumbai’s IT sector, the occupational therapy sessions included simulated work tasks. Mr. Mehta practiced typing using adaptive software for his right hand and learned ergonomic adjustments for his workstation. The therapist also facilitated a conference call between Mr. Mehta, his employer, and himself to negotiate a phased return-to-work plan that allowed for flexible hours.</w:t>
      </w:r>
    </w:p>
    <w:bookmarkEnd w:id="26"/>
    <w:bookmarkStart w:id="27" w:name="dpsychosocial-support"/>
    <w:p>
      <w:pPr>
        <w:pStyle w:val="Heading3"/>
      </w:pPr>
      <w:r>
        <w:t xml:space="preserve">DPsychosocial Support</w:t>
      </w:r>
    </w:p>
    <w:p>
      <w:pPr>
        <w:pStyle w:val="FirstParagraph"/>
      </w:pPr>
      <w:r>
        <w:t xml:space="preserve">The cultural context of India Mumbai places significant value on family support. The therapist engaged Mrs. Mehta as a partner in care, educating her on how to encourage independence rather than taking over tasks for him. This reduced caregiver burnout and empowered Mr. Mehta to regain confidence in his abilities.</w:t>
      </w:r>
    </w:p>
    <w:bookmarkEnd w:id="27"/>
    <w:bookmarkEnd w:id="28"/>
    <w:bookmarkStart w:id="29" w:name="outcomes"/>
    <w:p>
      <w:pPr>
        <w:pStyle w:val="Heading2"/>
      </w:pPr>
      <w:r>
        <w:t xml:space="preserve">5. Outcomes</w:t>
      </w:r>
    </w:p>
    <w:p>
      <w:pPr>
        <w:pStyle w:val="FirstParagraph"/>
      </w:pPr>
      <w:r>
        <w:t xml:space="preserve">After twelve weeks of intensive intervention, the outcomes were significant:</w:t>
      </w:r>
    </w:p>
    <w:p>
      <w:pPr>
        <w:numPr>
          <w:ilvl w:val="0"/>
          <w:numId w:val="1002"/>
        </w:numPr>
        <w:pStyle w:val="Compact"/>
      </w:pPr>
      <w:r>
        <w:rPr>
          <w:bCs/>
          <w:b/>
        </w:rPr>
        <w:t xml:space="preserve">Motor Function:</w:t>
      </w:r>
      <w:r>
        <w:t xml:space="preserve"> Mr. Mehta regained 60% of his grip strength and could dress himself independently with minimal adaptive equipment.</w:t>
      </w:r>
    </w:p>
    <w:p>
      <w:pPr>
        <w:numPr>
          <w:ilvl w:val="0"/>
          <w:numId w:val="1002"/>
        </w:numPr>
        <w:pStyle w:val="Compact"/>
      </w:pPr>
      <w:r>
        <w:rPr>
          <w:bCs/>
          <w:b/>
        </w:rPr>
        <w:t xml:space="preserve">ADL Independence:</w:t>
      </w:r>
      <w:r>
        <w:t xml:space="preserve"> He successfully adapted his kitchen routines to prepare simple breakfasts and managed personal hygiene safely.</w:t>
      </w:r>
    </w:p>
    <w:p>
      <w:pPr>
        <w:numPr>
          <w:ilvl w:val="0"/>
          <w:numId w:val="1002"/>
        </w:numPr>
        <w:pStyle w:val="Compact"/>
      </w:pPr>
      <w:r>
        <w:rPr>
          <w:bCs/>
          <w:b/>
        </w:rPr>
        <w:t xml:space="preserve">Vocational Reintegration:</w:t>
      </w:r>
      <w:r>
        <w:t xml:space="preserve"> Mr. Mehta returned to work part-time (20 hours per week), utilizing the ergonomic tools and schedule adjustments established during therapy.</w:t>
      </w:r>
    </w:p>
    <w:p>
      <w:pPr>
        <w:pStyle w:val="FirstParagraph"/>
      </w:pPr>
      <w:r>
        <w:t xml:space="preserve">The patient reported a marked improvement in quality of life, citing reduced anxiety about his future and a renewed sense of purpose.</w:t>
      </w:r>
    </w:p>
    <w:bookmarkEnd w:id="29"/>
    <w:bookmarkStart w:id="30" w:name="X675c0e3c3ceddae7ed5e922b367fb006d4a0006"/>
    <w:p>
      <w:pPr>
        <w:pStyle w:val="Heading2"/>
      </w:pPr>
      <w:r>
        <w:t xml:space="preserve">6. Discussion: The Specific Relevance to India Mumbai</w:t>
      </w:r>
    </w:p>
    <w:p>
      <w:pPr>
        <w:pStyle w:val="FirstParagraph"/>
      </w:pPr>
      <w:r>
        <w:t xml:space="preserve">This case study highlights why the role of an</w:t>
      </w:r>
      <w:r>
        <w:t xml:space="preserve"> </w:t>
      </w:r>
      <w:r>
        <w:rPr>
          <w:bCs/>
          <w:b/>
        </w:rPr>
        <w:t xml:space="preserve">Occupational Therapist</w:t>
      </w:r>
    </w:p>
    <w:p>
      <w:pPr>
        <w:pStyle w:val="BodyText"/>
      </w:pPr>
      <w:r>
        <w:t xml:space="preserve">Furthermore, the dense urban fabric of Mumbai means that many patients live in multi-generational households. This requires therapists to navigate complex family dynamics, ensuring that rehabilitation goals align with cultural values of respect for elders and family cohesion. The emphasis on home-based interventions is crucial because commuting in Mumbai traffic can be exhausting for stroke survivors.</w:t>
      </w:r>
    </w:p>
    <w:bookmarkEnd w:id="30"/>
    <w:bookmarkStart w:id="31" w:name="conclusion"/>
    <w:p>
      <w:pPr>
        <w:pStyle w:val="Heading2"/>
      </w:pPr>
      <w:r>
        <w:t xml:space="preserve">7. Conclusion</w:t>
      </w:r>
    </w:p>
    <w:p>
      <w:pPr>
        <w:pStyle w:val="FirstParagraph"/>
      </w:pPr>
      <w:r>
        <w:t xml:space="preserve">The case of Mr. Mehta demonstrates that effective occupational therapy in India Mumbai requires a nuanced understanding of local environmental, social, and cultural factors. An</w:t>
      </w:r>
      <w:r>
        <w:t xml:space="preserve"> </w:t>
      </w:r>
      <w:r>
        <w:rPr>
          <w:bCs/>
          <w:b/>
        </w:rPr>
        <w:t xml:space="preserve">Ocupational Therapist</w:t>
      </w:r>
    </w:p>
    <w:p>
      <w:pPr>
        <w:pStyle w:val="BodyText"/>
      </w:pPr>
      <w:r>
        <w:t xml:space="preserve">As urbanization continues to drive an increase in lifestyle diseases and age-related disabilities in India Mumbai, the demand for specialized occupational therapy services will grow. Healthcare providers, policymakers, and insurance companies must recognize OT not as a luxury, but as an essential service that enables individuals to lead dignified, independent lives despite physical limitations. The integration of culturally sensitive rehabilitation practices is key to unlocking the full potential of recovery in this dynamic region.</w:t>
      </w:r>
    </w:p>
    <w:p>
      <w:r>
        <w:pict>
          <v:rect style="width:0;height:1.5pt" o:hralign="center" o:hrstd="t" o:hr="t"/>
        </w:pict>
      </w:r>
    </w:p>
    <w:p>
      <w:pPr>
        <w:pStyle w:val="FirstParagraph"/>
      </w:pPr>
      <w:r>
        <w:rPr>
          <w:iCs/>
          <w:i/>
        </w:rPr>
        <w:t xml:space="preserve">Note: This document is for educational purposes. Patient details have been anonymized and altered to protect privacy.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Occupational Therapist in Urban Rehabilitation – A Focus on India Mumbai</dc:title>
  <dc:creator/>
  <dc:language>en</dc:language>
  <cp:keywords/>
  <dcterms:created xsi:type="dcterms:W3CDTF">2026-07-29T04:30:21Z</dcterms:created>
  <dcterms:modified xsi:type="dcterms:W3CDTF">2026-07-29T04:30:21Z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