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Kazakhstan</w:t>
      </w:r>
      <w:r>
        <w:t xml:space="preserve"> </w:t>
      </w:r>
      <w:r>
        <w:t xml:space="preserve">Almaty</w:t>
      </w:r>
    </w:p>
    <w:bookmarkStart w:id="29" w:name="Xebddca97541211959454aeb5f4c39121eef8a09"/>
    <w:p>
      <w:pPr>
        <w:pStyle w:val="Heading1"/>
      </w:pPr>
      <w:r>
        <w:t xml:space="preserve">Bridging the Gap: A Case Study on the Implementation of Occupational Therapy Services in Kazakhstan Almaty</w:t>
      </w:r>
    </w:p>
    <w:p>
      <w:pPr>
        <w:pStyle w:val="FirstParagraph"/>
      </w:pPr>
      <w:r>
        <w:rPr>
          <w:bCs/>
          <w:b/>
        </w:rPr>
        <w:t xml:space="preserve">Date:</w:t>
      </w:r>
      <w:r>
        <w:t xml:space="preserve"> </w:t>
      </w:r>
      <w:r>
        <w:t xml:space="preserve">October 2023</w:t>
      </w:r>
      <w:r>
        <w:br/>
      </w:r>
      <w:r>
        <w:rPr>
          <w:bCs/>
          <w:b/>
        </w:rPr>
        <w:t xml:space="preserve">Locus:</w:t>
      </w:r>
      <w:r>
        <w:t xml:space="preserve">Kazakhstan Almaty</w:t>
      </w:r>
    </w:p>
    <w:bookmarkStart w:id="20" w:name="executive-summary-and-background"/>
    <w:p>
      <w:pPr>
        <w:pStyle w:val="Heading2"/>
      </w:pPr>
      <w:r>
        <w:t xml:space="preserve">1. Executive Summary and Background</w:t>
      </w:r>
    </w:p>
    <w:p>
      <w:pPr>
        <w:pStyle w:val="FirstParagraph"/>
      </w:pPr>
      <w:r>
        <w:t xml:space="preserve">In recent years, the healthcare landscape in Central Asia has undergone significant modernization. However, specific disciplines such as rehabilitation have often lagged behind general medical services. This case study examines the introduction and integration of professional</w:t>
      </w:r>
      <w:r>
        <w:t xml:space="preserve"> </w:t>
      </w:r>
      <w:r>
        <w:rPr>
          <w:bCs/>
          <w:b/>
        </w:rPr>
        <w:t xml:space="preserve">Occupational Therapist</w:t>
      </w:r>
      <w:r>
        <w:t xml:space="preserve"> </w:t>
      </w:r>
      <w:r>
        <w:t xml:space="preserve">services within the urban context of</w:t>
      </w:r>
      <w:r>
        <w:t xml:space="preserve"> </w:t>
      </w:r>
      <w:r>
        <w:t xml:space="preserve">Kazakhstan Almaty</w:t>
      </w:r>
      <w:r>
        <w:t xml:space="preserve">. The primary objective is to analyze how occupational therapy (OT) addresses the unique cultural, demographic, and infrastructural challenges present in one of Kazakhstan's largest metropolitan centers.</w:t>
      </w:r>
    </w:p>
    <w:p>
      <w:pPr>
        <w:pStyle w:val="BodyText"/>
      </w:pPr>
      <w:r>
        <w:t xml:space="preserve">Kazakhstan Almaty</w:t>
      </w:r>
      <w:r>
        <w:t xml:space="preserve">, as the former capital and current economic hub of the nation, presents a complex environment for healthcare delivery. The city is characterized by a rapidly aging population, high rates of urbanization, and an increasing prevalence of non-communicable diseases. Furthermore, historical legacies from the Soviet era left a gap in patient-centered care models that focus on functional independence rather than purely curative approaches. This case study explores how modern</w:t>
      </w:r>
      <w:r>
        <w:t xml:space="preserve"> </w:t>
      </w:r>
      <w:r>
        <w:rPr>
          <w:bCs/>
          <w:b/>
        </w:rPr>
        <w:t xml:space="preserve">Occupational Therapist</w:t>
      </w:r>
      <w:r>
        <w:t xml:space="preserve"> </w:t>
      </w:r>
      <w:r>
        <w:t xml:space="preserve">interventions are bridging this gap.</w:t>
      </w:r>
    </w:p>
    <w:bookmarkEnd w:id="20"/>
    <w:bookmarkStart w:id="21" w:name="X00200238eb216532ef240c4e2dd3942aa5da4ab"/>
    <w:p>
      <w:pPr>
        <w:pStyle w:val="Heading2"/>
      </w:pPr>
      <w:r>
        <w:t xml:space="preserve">2. Case Presentation: The Patient Profile and Clinical Need</w:t>
      </w:r>
    </w:p>
    <w:p>
      <w:pPr>
        <w:pStyle w:val="FirstParagraph"/>
      </w:pPr>
      <w:r>
        <w:t xml:space="preserve">The core of this case study focuses on "Aida," a 68-year-old resident living in the central districts of</w:t>
      </w:r>
      <w:r>
        <w:t xml:space="preserve"> </w:t>
      </w:r>
      <w:r>
        <w:t xml:space="preserve">Kazakhstan Almaty</w:t>
      </w:r>
      <w:r>
        <w:t xml:space="preserve">. Aida suffered a severe ischemic stroke six months prior to her referral to our specialized clinic. Following standard neurological treatment, she was discharged with residual hemiparesis on her right side, significant difficulty in activities of daily living (ADLs), and profound psychological distress.</w:t>
      </w:r>
    </w:p>
    <w:p>
      <w:pPr>
        <w:pStyle w:val="BodyText"/>
      </w:pPr>
      <w:r>
        <w:t xml:space="preserve">In the traditional medical model prevalent in the region at that time, Aida’s care would have ended after physical stabilization. However, her inability to dress herself, prepare traditional meals like</w:t>
      </w:r>
      <w:r>
        <w:t xml:space="preserve"> </w:t>
      </w:r>
      <w:r>
        <w:rPr>
          <w:iCs/>
          <w:i/>
        </w:rPr>
        <w:t xml:space="preserve">beshbarmak</w:t>
      </w:r>
      <w:r>
        <w:t xml:space="preserve">, or navigate her multi-story apartment building without assistance highlighted a critical need for rehabilitation focused on life participation. This is precisely where an</w:t>
      </w:r>
      <w:r>
        <w:t xml:space="preserve"> </w:t>
      </w:r>
      <w:r>
        <w:rPr>
          <w:bCs/>
          <w:b/>
        </w:rPr>
        <w:t xml:space="preserve">Occupational Therapist</w:t>
      </w:r>
      <w:r>
        <w:t xml:space="preserve"> </w:t>
      </w:r>
      <w:r>
        <w:t xml:space="preserve">intervenes.</w:t>
      </w:r>
    </w:p>
    <w:bookmarkEnd w:id="21"/>
    <w:bookmarkStart w:id="24" w:name="X6b71a7e41b0e50a92e0c9ce543eb6b3f3dcf649"/>
    <w:p>
      <w:pPr>
        <w:pStyle w:val="Heading2"/>
      </w:pPr>
      <w:r>
        <w:t xml:space="preserve">3. Methodology: The Occupational Therapy Intervention Model</w:t>
      </w:r>
    </w:p>
    <w:p>
      <w:pPr>
        <w:pStyle w:val="FirstParagraph"/>
      </w:pPr>
      <w:r>
        <w:t xml:space="preserve">The intervention was designed by a certified</w:t>
      </w:r>
      <w:r>
        <w:t xml:space="preserve"> </w:t>
      </w:r>
      <w:r>
        <w:rPr>
          <w:bCs/>
          <w:b/>
        </w:rPr>
        <w:t xml:space="preserve">Occupational Therapist</w:t>
      </w:r>
      <w:r>
        <w:t xml:space="preserve"> </w:t>
      </w:r>
      <w:r>
        <w:t xml:space="preserve">who conducted a comprehensive assessment tailored to the local context of</w:t>
      </w:r>
      <w:r>
        <w:t xml:space="preserve"> </w:t>
      </w:r>
      <w:r>
        <w:t xml:space="preserve">Kazakhstan Almaty</w:t>
      </w:r>
      <w:r>
        <w:t xml:space="preserve">. The assessment utilized the Canadian Occupational Performance Measure (COPM) to identify client-centered goals. The following steps were taken:</w:t>
      </w:r>
    </w:p>
    <w:bookmarkStart w:id="22" w:name="environmental-assessment"/>
    <w:p>
      <w:pPr>
        <w:pStyle w:val="Heading3"/>
      </w:pPr>
      <w:r>
        <w:t xml:space="preserve">3.1 Environmental Assessment</w:t>
      </w:r>
    </w:p>
    <w:p>
      <w:pPr>
        <w:pStyle w:val="FirstParagraph"/>
      </w:pPr>
      <w:r>
        <w:t xml:space="preserve">Housing in many parts of</w:t>
      </w:r>
      <w:r>
        <w:t xml:space="preserve"> </w:t>
      </w:r>
      <w:r>
        <w:t xml:space="preserve">Kazakhstan Almaty</w:t>
      </w:r>
      <w:r>
        <w:t xml:space="preserve">, particularly older Soviet-era blocks, often lacks modern accessibility features such as wide doorways or step-free entrances. The therapist evaluated Aida’s home environment, noting that her bathroom and kitchen layouts were major barriers. The recommendation included low-cost modifications and the introduction of adaptive equipment suitable for local availability.</w:t>
      </w:r>
    </w:p>
    <w:bookmarkEnd w:id="22"/>
    <w:bookmarkStart w:id="23" w:name="cultural-adaptation-of-therapy"/>
    <w:p>
      <w:pPr>
        <w:pStyle w:val="Heading3"/>
      </w:pPr>
      <w:r>
        <w:t xml:space="preserve">3.2 Cultural Adaptation of Therapy</w:t>
      </w:r>
    </w:p>
    <w:p>
      <w:pPr>
        <w:pStyle w:val="FirstParagraph"/>
      </w:pPr>
      <w:r>
        <w:t xml:space="preserve">A crucial aspect of this case was cultural competency. For Aida, identity is closely tied to her role as a caregiver and cook within a large extended family structure—a common dynamic in Kazakh culture. The</w:t>
      </w:r>
      <w:r>
        <w:t xml:space="preserve"> </w:t>
      </w:r>
      <w:r>
        <w:rPr>
          <w:bCs/>
          <w:b/>
        </w:rPr>
        <w:t xml:space="preserve">Occupational Therapist</w:t>
      </w:r>
      <w:r>
        <w:t xml:space="preserve"> </w:t>
      </w:r>
      <w:r>
        <w:t xml:space="preserve">did not simply teach generic ADLs; instead, the therapy focused on adapting traditional tasks. For example, using one-handed techniques for chopping vegetables or utilizing modified utensils that allow her to participate in family meals without feeling like a burden.</w:t>
      </w:r>
    </w:p>
    <w:bookmarkEnd w:id="23"/>
    <w:bookmarkEnd w:id="24"/>
    <w:bookmarkStart w:id="25" w:name="challenges-specific-to-kazakhstan-almaty"/>
    <w:p>
      <w:pPr>
        <w:pStyle w:val="Heading2"/>
      </w:pPr>
      <w:r>
        <w:t xml:space="preserve">4. Challenges Specific to Kazakhstan Almaty</w:t>
      </w:r>
    </w:p>
    <w:p>
      <w:pPr>
        <w:pStyle w:val="FirstParagraph"/>
      </w:pPr>
      <w:r>
        <w:t xml:space="preserve">The implementation of this case study highlighted several systemic challenges specific to the region:</w:t>
      </w:r>
    </w:p>
    <w:p>
      <w:pPr>
        <w:numPr>
          <w:ilvl w:val="0"/>
          <w:numId w:val="1001"/>
        </w:numPr>
        <w:pStyle w:val="Compact"/>
      </w:pPr>
      <w:r>
        <w:rPr>
          <w:bCs/>
          <w:b/>
        </w:rPr>
        <w:t xml:space="preserve">Lack of Insurance Coverage:</w:t>
      </w:r>
      <w:r>
        <w:t xml:space="preserve">In many instances, outpatient rehabilitation is not fully covered by state or private insurance in</w:t>
      </w:r>
      <w:r>
        <w:t xml:space="preserve"> </w:t>
      </w:r>
      <w:r>
        <w:t xml:space="preserve">Kazakhstan Almaty</w:t>
      </w:r>
      <w:r>
        <w:t xml:space="preserve">, creating financial barriers for families. This case study utilized a subsidized pilot program to demonstrate efficacy.</w:t>
      </w:r>
    </w:p>
    <w:p>
      <w:pPr>
        <w:numPr>
          <w:ilvl w:val="0"/>
          <w:numId w:val="1001"/>
        </w:numPr>
        <w:pStyle w:val="Compact"/>
      </w:pPr>
      <w:r>
        <w:rPr>
          <w:bCs/>
          <w:b/>
        </w:rPr>
        <w:t xml:space="preserve">Public Awareness:</w:t>
      </w:r>
      <w:r>
        <w:t xml:space="preserve">There is significant confusion among the general public in</w:t>
      </w:r>
      <w:r>
        <w:t xml:space="preserve"> </w:t>
      </w:r>
      <w:r>
        <w:t xml:space="preserve">Kazakhstan Almaty</w:t>
      </w:r>
      <w:r>
        <w:t xml:space="preserve"> </w:t>
      </w:r>
      <w:r>
        <w:t xml:space="preserve">regarding the role of an</w:t>
      </w:r>
      <w:r>
        <w:t xml:space="preserve"> </w:t>
      </w:r>
      <w:r>
        <w:rPr>
          <w:bCs/>
          <w:b/>
        </w:rPr>
        <w:t xml:space="preserve">Occupational Therapist</w:t>
      </w:r>
      <w:r>
        <w:t xml:space="preserve">. Many patients initially confused OT with massage therapy or physiotherapy. Education campaigns were integrated into this case study to correct these misconceptions.</w:t>
      </w:r>
    </w:p>
    <w:p>
      <w:pPr>
        <w:numPr>
          <w:ilvl w:val="0"/>
          <w:numId w:val="1001"/>
        </w:numPr>
        <w:pStyle w:val="Compact"/>
      </w:pPr>
      <w:r>
        <w:rPr>
          <w:bCs/>
          <w:b/>
        </w:rPr>
        <w:t xml:space="preserve">Spatial Constraints:</w:t>
      </w:r>
      <w:r>
        <w:t xml:space="preserve">The dense urban fabric of central Almaty means that many elderly residents live in apartments where space is limited, making the implementation of home exercise programs difficult. The therapist had to adapt exercises for small spaces.</w:t>
      </w:r>
    </w:p>
    <w:bookmarkEnd w:id="25"/>
    <w:bookmarkStart w:id="26" w:name="outcomes-and-results"/>
    <w:p>
      <w:pPr>
        <w:pStyle w:val="Heading2"/>
      </w:pPr>
      <w:r>
        <w:t xml:space="preserve">5. Outcomes and Results</w:t>
      </w:r>
    </w:p>
    <w:p>
      <w:pPr>
        <w:pStyle w:val="FirstParagraph"/>
      </w:pPr>
      <w:r>
        <w:t xml:space="preserve">Occupational Therapist, Aida demonstrated remarkable improvements:</w:t>
      </w:r>
    </w:p>
    <w:p>
      <w:pPr>
        <w:numPr>
          <w:ilvl w:val="0"/>
          <w:numId w:val="1002"/>
        </w:numPr>
        <w:pStyle w:val="Compact"/>
      </w:pPr>
      <w:r>
        <w:rPr>
          <w:bCs/>
          <w:b/>
        </w:rPr>
        <w:t xml:space="preserve">Fine Motor Skills:</w:t>
      </w:r>
      <w:r>
        <w:t xml:space="preserve">Aida regained sufficient dexterity to feed herself and perform light household chores.</w:t>
      </w:r>
    </w:p>
    <w:p>
      <w:pPr>
        <w:numPr>
          <w:ilvl w:val="0"/>
          <w:numId w:val="1002"/>
        </w:numPr>
        <w:pStyle w:val="Compact"/>
      </w:pPr>
      <w:r>
        <w:rPr>
          <w:bCs/>
          <w:b/>
        </w:rPr>
        <w:t xml:space="preserve">Mobility:</w:t>
      </w:r>
      <w:r>
        <w:t xml:space="preserve">With the help of a modified walker and home modifications (ramps installed for small steps), she became independent in navigating her apartment building, reducing her reliance on neighbors.</w:t>
      </w:r>
    </w:p>
    <w:p>
      <w:pPr>
        <w:numPr>
          <w:ilvl w:val="0"/>
          <w:numId w:val="1002"/>
        </w:numPr>
        <w:pStyle w:val="Compact"/>
      </w:pPr>
      <w:r>
        <w:rPr>
          <w:bCs/>
          <w:b/>
        </w:rPr>
        <w:t xml:space="preserve">Psychosocial Well-being:</w:t>
      </w:r>
      <w:r>
        <w:t xml:space="preserve">Aida reported a restored sense of purpose. She was able to host small family gatherings, fulfilling a vital cultural and emotional need.</w:t>
      </w:r>
    </w:p>
    <w:p>
      <w:pPr>
        <w:pStyle w:val="FirstParagraph"/>
      </w:pPr>
      <w:r>
        <w:t xml:space="preserve">The success of this case in the context of</w:t>
      </w:r>
      <w:r>
        <w:t xml:space="preserve"> </w:t>
      </w:r>
      <w:r>
        <w:t xml:space="preserve">Kazakhstan Almaty</w:t>
      </w:r>
      <w:r>
        <w:t xml:space="preserve"> </w:t>
      </w:r>
      <w:r>
        <w:t xml:space="preserve">serves as proof that occupational therapy is not merely a luxury but a necessity for holistic health. It shifted Aida from being a passive patient to an active participant in her own recovery.</w:t>
      </w:r>
    </w:p>
    <w:bookmarkEnd w:id="26"/>
    <w:bookmarkStart w:id="27" w:name="discussion-and-broader-implications"/>
    <w:p>
      <w:pPr>
        <w:pStyle w:val="Heading2"/>
      </w:pPr>
      <w:r>
        <w:t xml:space="preserve">6. Discussion and Broader Implications</w:t>
      </w:r>
    </w:p>
    <w:p>
      <w:pPr>
        <w:pStyle w:val="FirstParagraph"/>
      </w:pPr>
      <w:r>
        <w:t xml:space="preserve">This case study illustrates that the introduction of the</w:t>
      </w:r>
      <w:r>
        <w:t xml:space="preserve"> </w:t>
      </w:r>
      <w:r>
        <w:rPr>
          <w:bCs/>
          <w:b/>
        </w:rPr>
        <w:t xml:space="preserve">Occupational Therapist</w:t>
      </w:r>
      <w:r>
        <w:t xml:space="preserve"> </w:t>
      </w:r>
      <w:r>
        <w:t xml:space="preserve">role in healthcare systems similar to that of</w:t>
      </w:r>
      <w:r>
        <w:t xml:space="preserve"> </w:t>
      </w:r>
      <w:r>
        <w:t xml:space="preserve">Kazakhstan Almaty</w:t>
      </w:r>
      <w:r>
        <w:rPr>
          <w:vertAlign w:val="superscript"/>
        </w:rPr>
        <w:t xml:space="preserve">19</w:t>
      </w:r>
      <w:r>
        <w:t xml:space="preserve">, requires a dual approach: clinical excellence and cultural adaptation. It is not enough to import Western models of OT; they must be localized. The emphasis on family dynamics, traditional foods, and the specific architectural challenges of Almaty’s housing stock were critical success factors.</w:t>
      </w:r>
    </w:p>
    <w:p>
      <w:pPr>
        <w:pStyle w:val="BodyText"/>
      </w:pPr>
      <w:r>
        <w:t xml:space="preserve">Furthermore, this case highlights the economic argument for occupational therapy. By enabling Aida to live independently and reducing the need for 24-hour professional caregiving, there is a tangible reduction in long-term healthcare costs. For policymakers in</w:t>
      </w:r>
      <w:r>
        <w:t xml:space="preserve"> </w:t>
      </w:r>
      <w:r>
        <w:t xml:space="preserve">Kazakhstan Almaty</w:t>
      </w:r>
      <w:r>
        <w:t xml:space="preserve">, this demonstrates that investing in rehabilitation infrastructure yields high social returns.</w:t>
      </w:r>
    </w:p>
    <w:bookmarkEnd w:id="27"/>
    <w:bookmarkStart w:id="28" w:name="conclusion"/>
    <w:p>
      <w:pPr>
        <w:pStyle w:val="Heading2"/>
      </w:pPr>
      <w:r>
        <w:t xml:space="preserve">7. Conclusion</w:t>
      </w:r>
    </w:p>
    <w:p>
      <w:pPr>
        <w:pStyle w:val="FirstParagraph"/>
      </w:pPr>
      <w:r>
        <w:t xml:space="preserve">The case of Aida underscores the transformative potential of occupational therapy in urban settings within Central Asia. The unique blend of medical need, cultural expectation, and environmental barrier present in</w:t>
      </w:r>
      <w:r>
        <w:t xml:space="preserve"> </w:t>
      </w:r>
      <w:r>
        <w:t xml:space="preserve">Kazakhstan Almaty</w:t>
      </w:r>
      <w:r>
        <w:t xml:space="preserve"> </w:t>
      </w:r>
      <w:r>
        <w:t xml:space="preserve">requires specialized expertise. The</w:t>
      </w:r>
      <w:r>
        <w:t xml:space="preserve"> </w:t>
      </w:r>
      <w:r>
        <w:rPr>
          <w:bCs/>
          <w:b/>
        </w:rPr>
        <w:t xml:space="preserve">Occupational Therapist</w:t>
      </w:r>
      <w:r>
        <w:t xml:space="preserve"> </w:t>
      </w:r>
      <w:r>
        <w:t xml:space="preserve">acts as a bridge between clinical recovery and real-world functioning.</w:t>
      </w:r>
    </w:p>
    <w:p>
      <w:pPr>
        <w:pStyle w:val="BodyText"/>
      </w:pPr>
      <w:r>
        <w:t xml:space="preserve">To sustain this progress, it is recommended that healthcare institutions in Almaty integrate OT into standard post-stroke care pathways. Training programs should emphasize the local context, ensuring that future therapists are equipped to handle the specific socio-cultural nuances of Kazakh society. Only through such targeted integration can the full benefits of occupational therapy be realized for the population of</w:t>
      </w:r>
      <w:r>
        <w:t xml:space="preserve"> </w:t>
      </w:r>
      <w:r>
        <w:t xml:space="preserve">Kazakhstan Almaty</w:t>
      </w:r>
      <w:r>
        <w:t xml:space="preserve">.</w:t>
      </w:r>
    </w:p>
    <w:p>
      <w:r>
        <w:pict>
          <v:rect style="width:0;height:1.5pt" o:hralign="center" o:hrstd="t" o:hr="t"/>
        </w:pict>
      </w:r>
    </w:p>
    <w:p>
      <w:pPr>
        <w:pStyle w:val="FirstParagraph"/>
      </w:pPr>
      <w:r>
        <w:rPr>
          <w:iCs/>
          <w:i/>
        </w:rPr>
        <w:t xml:space="preserve">Note: This case study is a composite example designed to highlight best practices and contextual challenges. Names have been changed to protect patient privacy.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Kazakhstan Almaty</dc:title>
  <dc:creator/>
  <dc:language>en</dc:language>
  <cp:keywords/>
  <dcterms:created xsi:type="dcterms:W3CDTF">2026-07-29T12:21:34Z</dcterms:created>
  <dcterms:modified xsi:type="dcterms:W3CDTF">2026-07-29T12:21:34Z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